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Lack of Generational Stereotypes at Work: A Study from Baby Boomers to Millennial Generation in Educational Institutes</w:t>
      </w:r>
    </w:p>
    <w:p>
      <w:pPr>
        <w:pStyle w:val="Heading2"/>
        <w:spacing w:before="120"/>
        <w:ind w:right="205"/>
        <w:jc w:val="center"/>
      </w:pPr>
      <w:r>
        <w:rPr/>
        <w:t>Kamran Khan</w:t>
      </w:r>
    </w:p>
    <w:p>
      <w:pPr>
        <w:pStyle w:val="BodyText"/>
        <w:spacing w:before="161"/>
        <w:ind w:left="225" w:right="205"/>
        <w:jc w:val="center"/>
      </w:pPr>
      <w:r>
        <w:rPr/>
        <w:t>Comsats University Islamabad (Wah Campus),</w:t>
      </w:r>
    </w:p>
    <w:p>
      <w:pPr>
        <w:pStyle w:val="Heading2"/>
        <w:spacing w:before="161"/>
        <w:ind w:right="202"/>
        <w:jc w:val="center"/>
      </w:pPr>
      <w:r>
        <w:rPr/>
        <w:t>Mahvia Gul</w:t>
      </w:r>
    </w:p>
    <w:p>
      <w:pPr>
        <w:pStyle w:val="BodyText"/>
        <w:spacing w:before="163"/>
        <w:ind w:left="225" w:right="204"/>
        <w:jc w:val="center"/>
      </w:pPr>
      <w:r>
        <w:rPr/>
        <w:t>Foundation University Islamabad (Rawalpindi Campus)</w:t>
      </w:r>
    </w:p>
    <w:p>
      <w:pPr>
        <w:spacing w:before="162"/>
        <w:ind w:left="225" w:right="203" w:firstLine="0"/>
        <w:jc w:val="center"/>
        <w:rPr>
          <w:b/>
          <w:i/>
          <w:sz w:val="28"/>
        </w:rPr>
      </w:pPr>
      <w:r>
        <w:rPr>
          <w:b/>
          <w:i/>
          <w:sz w:val="28"/>
        </w:rPr>
        <w:t>Abstract</w:t>
      </w:r>
    </w:p>
    <w:p>
      <w:pPr>
        <w:spacing w:line="276" w:lineRule="auto" w:before="167"/>
        <w:ind w:left="600" w:right="576" w:firstLine="0"/>
        <w:jc w:val="both"/>
        <w:rPr>
          <w:i/>
          <w:sz w:val="24"/>
        </w:rPr>
      </w:pPr>
      <w:r>
        <w:rPr>
          <w:i/>
          <w:sz w:val="24"/>
        </w:rPr>
        <w:t>The research for generational climate has been an interest for </w:t>
      </w:r>
      <w:r>
        <w:rPr>
          <w:i/>
          <w:sz w:val="24"/>
        </w:rPr>
        <w:t>researchers for a variety of differences for decades and seems to be valued more recently. Much of the literature assumes that different generations have large no of stereotyping feelings </w:t>
      </w:r>
      <w:r>
        <w:rPr>
          <w:i/>
          <w:spacing w:val="-6"/>
          <w:sz w:val="24"/>
        </w:rPr>
        <w:t>to </w:t>
      </w:r>
      <w:r>
        <w:rPr>
          <w:i/>
          <w:sz w:val="24"/>
        </w:rPr>
        <w:t>each other and their perceived effect on work outcomes. This study uses a sample of 206 of four generations 'teachers/Educators who belong to educational institutes of Punjab government, Pakistan, to see the level of generational stereotyping on workplace intergenerational retention by the mediating on organizational commitment. Findings show the lack of stereotyping has a positive impact on workplace intergenerational retention and organizational commitment mediates this relationship. This study is helpful to reduce the impact of generational stereotyping in connection with the retention of experienced and educated individuals who belong to various generations at the working place. Recommendations to reduce the negative stereotyping’s behaviors </w:t>
      </w:r>
      <w:r>
        <w:rPr>
          <w:i/>
          <w:spacing w:val="-6"/>
          <w:sz w:val="24"/>
        </w:rPr>
        <w:t>in </w:t>
      </w:r>
      <w:r>
        <w:rPr>
          <w:i/>
          <w:sz w:val="24"/>
        </w:rPr>
        <w:t>organizations are</w:t>
      </w:r>
      <w:r>
        <w:rPr>
          <w:i/>
          <w:spacing w:val="-1"/>
          <w:sz w:val="24"/>
        </w:rPr>
        <w:t> </w:t>
      </w:r>
      <w:r>
        <w:rPr>
          <w:i/>
          <w:sz w:val="24"/>
        </w:rPr>
        <w:t>provided.</w:t>
      </w:r>
    </w:p>
    <w:p>
      <w:pPr>
        <w:spacing w:line="278" w:lineRule="auto" w:before="0"/>
        <w:ind w:left="240" w:right="218" w:firstLine="0"/>
        <w:jc w:val="both"/>
        <w:rPr>
          <w:b/>
          <w:i/>
          <w:sz w:val="24"/>
        </w:rPr>
      </w:pPr>
      <w:r>
        <w:rPr>
          <w:b/>
          <w:i/>
          <w:sz w:val="24"/>
        </w:rPr>
        <w:t>Key Words: Stereotyping, Generations, Organizational commitment, </w:t>
      </w:r>
      <w:r>
        <w:rPr>
          <w:b/>
          <w:i/>
          <w:sz w:val="24"/>
        </w:rPr>
        <w:t>Workplace intergenerational retention.</w:t>
      </w:r>
    </w:p>
    <w:p>
      <w:pPr>
        <w:pStyle w:val="ListParagraph"/>
        <w:numPr>
          <w:ilvl w:val="0"/>
          <w:numId w:val="1"/>
        </w:numPr>
        <w:tabs>
          <w:tab w:pos="601" w:val="left" w:leader="none"/>
        </w:tabs>
        <w:spacing w:line="240" w:lineRule="auto" w:before="117" w:after="0"/>
        <w:ind w:left="600" w:right="0" w:hanging="361"/>
        <w:jc w:val="both"/>
        <w:rPr>
          <w:b/>
          <w:sz w:val="28"/>
        </w:rPr>
      </w:pPr>
      <w:r>
        <w:rPr>
          <w:b/>
          <w:sz w:val="28"/>
        </w:rPr>
        <w:t>Introduction</w:t>
      </w:r>
    </w:p>
    <w:p>
      <w:pPr>
        <w:pStyle w:val="BodyText"/>
        <w:spacing w:line="276" w:lineRule="auto" w:before="167"/>
        <w:ind w:left="240" w:right="216"/>
        <w:jc w:val="both"/>
      </w:pPr>
      <w:r>
        <w:rPr/>
        <w:t>Global researchers have elaborated on the role of various generations for organizational life. From a decade's different age of people are working together with various work attitudes, experiences of stereotyping, and organizational commitment (Hammond, Lester, Clapp-Smith, &amp; Palanski, 2017). The workplace has been affected by</w:t>
      </w:r>
    </w:p>
    <w:p>
      <w:pPr>
        <w:spacing w:before="55"/>
        <w:ind w:left="24" w:right="0" w:firstLine="0"/>
        <w:jc w:val="center"/>
        <w:rPr>
          <w:rFonts w:ascii="Carlito"/>
          <w:sz w:val="22"/>
        </w:rPr>
      </w:pPr>
      <w:r>
        <w:rPr>
          <w:rFonts w:ascii="Carlito"/>
          <w:w w:val="100"/>
          <w:sz w:val="22"/>
        </w:rPr>
        <w:t>1</w:t>
      </w:r>
    </w:p>
    <w:p>
      <w:pPr>
        <w:spacing w:after="0"/>
        <w:jc w:val="center"/>
        <w:rPr>
          <w:rFonts w:ascii="Carlito"/>
          <w:sz w:val="22"/>
        </w:rPr>
        <w:sectPr>
          <w:type w:val="continuous"/>
          <w:pgSz w:w="9000" w:h="14040"/>
          <w:pgMar w:top="920" w:bottom="280" w:left="840" w:right="860"/>
        </w:sectPr>
      </w:pPr>
    </w:p>
    <w:p>
      <w:pPr>
        <w:tabs>
          <w:tab w:pos="4863" w:val="left" w:leader="none"/>
        </w:tabs>
        <w:spacing w:before="39"/>
        <w:ind w:left="240" w:right="0" w:firstLine="0"/>
        <w:jc w:val="left"/>
        <w:rPr>
          <w:rFonts w:ascii="Carlito"/>
          <w:b/>
          <w:sz w:val="22"/>
        </w:rPr>
      </w:pPr>
      <w:r>
        <w:rPr>
          <w:rFonts w:ascii="Carlito"/>
          <w:b/>
          <w:sz w:val="22"/>
        </w:rPr>
        <w:t>Lack of</w:t>
      </w:r>
      <w:r>
        <w:rPr>
          <w:rFonts w:ascii="Carlito"/>
          <w:b/>
          <w:spacing w:val="-5"/>
          <w:sz w:val="22"/>
        </w:rPr>
        <w:t> </w:t>
      </w:r>
      <w:r>
        <w:rPr>
          <w:rFonts w:ascii="Carlito"/>
          <w:b/>
          <w:sz w:val="22"/>
        </w:rPr>
        <w:t>Generational</w:t>
      </w:r>
      <w:r>
        <w:rPr>
          <w:rFonts w:ascii="Carlito"/>
          <w:b/>
          <w:spacing w:val="-4"/>
          <w:sz w:val="22"/>
        </w:rPr>
        <w:t> </w:t>
      </w:r>
      <w:r>
        <w:rPr>
          <w:rFonts w:ascii="Carlito"/>
          <w:b/>
          <w:sz w:val="22"/>
        </w:rPr>
        <w:t>Stereotypes</w:t>
        <w:tab/>
      </w:r>
      <w:r>
        <w:rPr>
          <w:rFonts w:ascii="Carlito"/>
          <w:b/>
          <w:i/>
          <w:sz w:val="22"/>
        </w:rPr>
        <w:t>JSS</w:t>
      </w:r>
      <w:r>
        <w:rPr>
          <w:rFonts w:ascii="Carlito"/>
          <w:b/>
          <w:sz w:val="22"/>
        </w:rPr>
        <w:t>, Vol.11, No. 1</w:t>
      </w:r>
      <w:r>
        <w:rPr>
          <w:rFonts w:ascii="Carlito"/>
          <w:b/>
          <w:spacing w:val="-7"/>
          <w:sz w:val="22"/>
        </w:rPr>
        <w:t> </w:t>
      </w:r>
      <w:r>
        <w:rPr>
          <w:rFonts w:ascii="Carlito"/>
          <w:b/>
          <w:sz w:val="22"/>
        </w:rPr>
        <w:t>(2020)</w:t>
      </w:r>
    </w:p>
    <w:p>
      <w:pPr>
        <w:pStyle w:val="BodyText"/>
        <w:spacing w:before="8"/>
        <w:rPr>
          <w:rFonts w:ascii="Carlito"/>
          <w:b/>
          <w:sz w:val="14"/>
        </w:rPr>
      </w:pPr>
    </w:p>
    <w:p>
      <w:pPr>
        <w:pStyle w:val="BodyText"/>
        <w:spacing w:line="276" w:lineRule="auto" w:before="90"/>
        <w:ind w:left="240" w:right="218"/>
        <w:jc w:val="both"/>
      </w:pPr>
      <w:r>
        <w:rPr/>
        <w:t>multiple generations and their interactions with each other (Lyons, Schweitzer, Urick, &amp; Kuron, 2019). These generations have affected the work values, organizational commitment, and collaborative environment (Morrow, McElroy, &amp; Scheibe, 2012). Intergenerational differentiation affects personal and organizational outcomes (Weeks &amp; Schaffert, 2019). Organizational commitment and age diversity have influenced generations' performance and retention (Warshawski, Barnoy, &amp; Kagan, 2017). Work characteristics, engagement of the different generations depend on the intergenerational collaborations. These collaborations among the generations have further affected individualistic and group retention of each generation (Clark, 2017). People may be different by values thoughts and views. These differences as well as similarities provide variety and challenges in the working environment. When different age of people works together they share positive and negative stereotyping (Anderson, Baur, Griffith, &amp; Buckley,</w:t>
      </w:r>
      <w:r>
        <w:rPr>
          <w:spacing w:val="-1"/>
        </w:rPr>
        <w:t> </w:t>
      </w:r>
      <w:r>
        <w:rPr/>
        <w:t>2017).</w:t>
      </w:r>
    </w:p>
    <w:p>
      <w:pPr>
        <w:pStyle w:val="BodyText"/>
        <w:spacing w:line="276" w:lineRule="auto" w:before="122"/>
        <w:ind w:left="240" w:right="218"/>
        <w:jc w:val="both"/>
      </w:pPr>
      <w:r>
        <w:rPr/>
        <w:t>Seeds of these negative stereotyping between generations has practically generated from the consumption of time. These create a burden of work, ineffective transferring of knowledge; develop lower social identification, and poor performance of work (Clark, 2017). The danger of stereotypes cause the negative consequences in the organization and specifically develop the quitting behaviors in the organization, (Heilman, 2012; Stanton, 2017).</w:t>
      </w:r>
    </w:p>
    <w:p>
      <w:pPr>
        <w:pStyle w:val="BodyText"/>
        <w:spacing w:line="276" w:lineRule="auto" w:before="118"/>
        <w:ind w:left="240" w:right="216"/>
        <w:jc w:val="both"/>
      </w:pPr>
      <w:r>
        <w:rPr/>
        <w:t>Understanding and managing generation important for increase productivity (Clark, 2017) Positive Workplace environment has been considered the key factor of success between generations. The workplace environment is a combination of different age groups that have directly associated with job commitment and retention (Stewart et al., 2017). Perceptions of building a relationship of various age groups are the basis of the retention of individuals at the workplace (Fletcher, Alfes, &amp; Robinson, 2018). Organizational collaborative work environment, reward strategies, and stereotypes have associated with the retention of individuals in the organization. Autonomy, mutual contact, and a collaborative work environment are also helpful factors to build a positive work environment in a multigenerational workforce (Morrow et al.,</w:t>
      </w:r>
      <w:r>
        <w:rPr>
          <w:spacing w:val="-2"/>
        </w:rPr>
        <w:t> </w:t>
      </w:r>
      <w:r>
        <w:rPr/>
        <w:t>2012).</w:t>
      </w:r>
    </w:p>
    <w:p>
      <w:pPr>
        <w:spacing w:before="131"/>
        <w:ind w:left="24" w:right="0" w:firstLine="0"/>
        <w:jc w:val="center"/>
        <w:rPr>
          <w:rFonts w:ascii="Carlito"/>
          <w:sz w:val="22"/>
        </w:rPr>
      </w:pPr>
      <w:r>
        <w:rPr>
          <w:rFonts w:ascii="Carlito"/>
          <w:w w:val="100"/>
          <w:sz w:val="22"/>
        </w:rPr>
        <w:t>2</w:t>
      </w:r>
    </w:p>
    <w:p>
      <w:pPr>
        <w:spacing w:after="0"/>
        <w:jc w:val="center"/>
        <w:rPr>
          <w:rFonts w:ascii="Carlito"/>
          <w:sz w:val="22"/>
        </w:rPr>
        <w:sectPr>
          <w:pgSz w:w="9000" w:h="14040"/>
          <w:pgMar w:top="680" w:bottom="280" w:left="840" w:right="860"/>
        </w:sectPr>
      </w:pPr>
    </w:p>
    <w:p>
      <w:pPr>
        <w:tabs>
          <w:tab w:pos="4887" w:val="left" w:leader="none"/>
        </w:tabs>
        <w:spacing w:before="39"/>
        <w:ind w:left="240" w:right="0" w:firstLine="0"/>
        <w:jc w:val="left"/>
        <w:rPr>
          <w:rFonts w:ascii="Carlito"/>
          <w:b/>
          <w:sz w:val="22"/>
        </w:rPr>
      </w:pPr>
      <w:r>
        <w:rPr>
          <w:rFonts w:ascii="Carlito"/>
          <w:b/>
          <w:sz w:val="22"/>
        </w:rPr>
        <w:t>Kan</w:t>
      </w:r>
      <w:r>
        <w:rPr>
          <w:rFonts w:ascii="Carlito"/>
          <w:b/>
          <w:spacing w:val="-2"/>
          <w:sz w:val="22"/>
        </w:rPr>
        <w:t> </w:t>
      </w:r>
      <w:r>
        <w:rPr>
          <w:rFonts w:ascii="Carlito"/>
          <w:b/>
          <w:sz w:val="22"/>
        </w:rPr>
        <w:t>&amp;</w:t>
      </w:r>
      <w:r>
        <w:rPr>
          <w:rFonts w:ascii="Carlito"/>
          <w:b/>
          <w:spacing w:val="1"/>
          <w:sz w:val="22"/>
        </w:rPr>
        <w:t> </w:t>
      </w:r>
      <w:r>
        <w:rPr>
          <w:rFonts w:ascii="Carlito"/>
          <w:b/>
          <w:sz w:val="22"/>
        </w:rPr>
        <w:t>Gul</w:t>
        <w:tab/>
      </w:r>
      <w:r>
        <w:rPr>
          <w:rFonts w:ascii="Carlito"/>
          <w:b/>
          <w:i/>
          <w:sz w:val="22"/>
        </w:rPr>
        <w:t>JSS</w:t>
      </w:r>
      <w:r>
        <w:rPr>
          <w:rFonts w:ascii="Carlito"/>
          <w:b/>
          <w:sz w:val="22"/>
        </w:rPr>
        <w:t>, Vol.11, No. 1</w:t>
      </w:r>
      <w:r>
        <w:rPr>
          <w:rFonts w:ascii="Carlito"/>
          <w:b/>
          <w:spacing w:val="-8"/>
          <w:sz w:val="22"/>
        </w:rPr>
        <w:t> </w:t>
      </w:r>
      <w:r>
        <w:rPr>
          <w:rFonts w:ascii="Carlito"/>
          <w:b/>
          <w:sz w:val="22"/>
        </w:rPr>
        <w:t>(2020)</w:t>
      </w:r>
    </w:p>
    <w:p>
      <w:pPr>
        <w:pStyle w:val="BodyText"/>
        <w:spacing w:before="8"/>
        <w:rPr>
          <w:rFonts w:ascii="Carlito"/>
          <w:b/>
          <w:sz w:val="14"/>
        </w:rPr>
      </w:pPr>
    </w:p>
    <w:p>
      <w:pPr>
        <w:pStyle w:val="BodyText"/>
        <w:spacing w:line="276" w:lineRule="auto" w:before="90"/>
        <w:ind w:left="240" w:right="215"/>
        <w:jc w:val="both"/>
      </w:pPr>
      <w:r>
        <w:rPr/>
        <w:t>A low level of intergenerational stereotyping and a high level of positive climate among the generations can reduce the negative effects of ageism in the workplace. This enables individuals to develop a positive intergenerational climate (King &amp; Bryant, 2018). Generational stereotyping has associated with productivity, teamwork, and organizational commitment. Positive stereotyping could help achieve organizational goals and set the platform of work for each generation (Mahutga, 2019). A potential avenue of inquiry is needed to see the generational stereotyping and its impact on employees in particular and their performance in</w:t>
      </w:r>
      <w:r>
        <w:rPr>
          <w:spacing w:val="-1"/>
        </w:rPr>
        <w:t> </w:t>
      </w:r>
      <w:r>
        <w:rPr/>
        <w:t>general.</w:t>
      </w:r>
    </w:p>
    <w:p>
      <w:pPr>
        <w:pStyle w:val="Heading1"/>
        <w:numPr>
          <w:ilvl w:val="0"/>
          <w:numId w:val="1"/>
        </w:numPr>
        <w:tabs>
          <w:tab w:pos="546" w:val="left" w:leader="none"/>
        </w:tabs>
        <w:spacing w:line="240" w:lineRule="auto" w:before="121" w:after="0"/>
        <w:ind w:left="545" w:right="0" w:hanging="306"/>
        <w:jc w:val="both"/>
      </w:pPr>
      <w:r>
        <w:rPr/>
        <w:t>Literature</w:t>
      </w:r>
      <w:r>
        <w:rPr>
          <w:spacing w:val="-3"/>
        </w:rPr>
        <w:t> </w:t>
      </w:r>
      <w:r>
        <w:rPr/>
        <w:t>Review</w:t>
      </w:r>
    </w:p>
    <w:p>
      <w:pPr>
        <w:pStyle w:val="Heading2"/>
        <w:numPr>
          <w:ilvl w:val="1"/>
          <w:numId w:val="1"/>
        </w:numPr>
        <w:tabs>
          <w:tab w:pos="602" w:val="left" w:leader="none"/>
        </w:tabs>
        <w:spacing w:line="240" w:lineRule="auto" w:before="167" w:after="0"/>
        <w:ind w:left="601" w:right="0" w:hanging="362"/>
        <w:jc w:val="left"/>
      </w:pPr>
      <w:r>
        <w:rPr/>
        <w:t>Generations</w:t>
      </w:r>
    </w:p>
    <w:p>
      <w:pPr>
        <w:pStyle w:val="BodyText"/>
        <w:spacing w:line="276" w:lineRule="auto" w:before="43"/>
        <w:ind w:left="240" w:right="214"/>
        <w:jc w:val="both"/>
      </w:pPr>
      <w:r>
        <w:rPr/>
        <w:t>Generation is a set of same birth range years of people who share common life's values. They have the same kind of historical and socio- cultural context, (Gonzales et al, 2018). A generation is a group of people by a common range of birth years and shares common expressions of life. The generational theory explains that people's experiences about social economic and political realities are the same those born in a similar time framework (Lyons et al., 2019). One definition has explained by James et al (2016) in which generations have been defined by their birth range as traditional 1928-45, baby boomers generation from the period 1946-64, Generation X 1965-78, and millennial1979-2000. Organizations have included Silent generation (1928-45), Baby boomers (194464), Generation X (1965- 80), millennial or Generation Y (1981-1995), and new millennial 1995 to onward (Stewart, Oliver, Cravens, &amp; Oishi, 2017).</w:t>
      </w:r>
    </w:p>
    <w:p>
      <w:pPr>
        <w:pStyle w:val="Heading2"/>
        <w:numPr>
          <w:ilvl w:val="1"/>
          <w:numId w:val="1"/>
        </w:numPr>
        <w:tabs>
          <w:tab w:pos="661" w:val="left" w:leader="none"/>
        </w:tabs>
        <w:spacing w:line="240" w:lineRule="auto" w:before="0" w:after="0"/>
        <w:ind w:left="660" w:right="0" w:hanging="421"/>
        <w:jc w:val="both"/>
      </w:pPr>
      <w:r>
        <w:rPr/>
        <w:t>Concept of Generational stereotypes at</w:t>
      </w:r>
      <w:r>
        <w:rPr>
          <w:spacing w:val="-5"/>
        </w:rPr>
        <w:t> </w:t>
      </w:r>
      <w:r>
        <w:rPr/>
        <w:t>workplace</w:t>
      </w:r>
    </w:p>
    <w:p>
      <w:pPr>
        <w:pStyle w:val="BodyText"/>
        <w:spacing w:line="276" w:lineRule="auto" w:before="161"/>
        <w:ind w:left="240" w:right="215" w:hanging="7"/>
        <w:jc w:val="center"/>
        <w:rPr>
          <w:rFonts w:ascii="Carlito"/>
          <w:sz w:val="22"/>
        </w:rPr>
      </w:pPr>
      <w:r>
        <w:rPr/>
        <w:t>Stereotyping is to interpret the surrounding world and based on</w:t>
      </w:r>
      <w:r>
        <w:rPr>
          <w:spacing w:val="-11"/>
        </w:rPr>
        <w:t> </w:t>
      </w:r>
      <w:r>
        <w:rPr/>
        <w:t>various social conditions. Generational stereotypes are common for assessing other generations based on political views and sexuality (Morrison, 2018). There are positive and negative stereotypes in the workplace. Negative stereotypes decline job commitment, make resistance to change, and appeared at a high cost. One of the most stereotype feelings exists in the organization of younger employees about their older colleagues that they have low performance. On the other side,     </w:t>
      </w:r>
      <w:r>
        <w:rPr>
          <w:rFonts w:ascii="Carlito"/>
          <w:sz w:val="22"/>
        </w:rPr>
        <w:t>3</w:t>
      </w:r>
    </w:p>
    <w:p>
      <w:pPr>
        <w:spacing w:after="0" w:line="276" w:lineRule="auto"/>
        <w:jc w:val="center"/>
        <w:rPr>
          <w:rFonts w:ascii="Carlito"/>
          <w:sz w:val="22"/>
        </w:rPr>
        <w:sectPr>
          <w:pgSz w:w="9000" w:h="14040"/>
          <w:pgMar w:top="680" w:bottom="280" w:left="840" w:right="860"/>
        </w:sectPr>
      </w:pPr>
    </w:p>
    <w:p>
      <w:pPr>
        <w:tabs>
          <w:tab w:pos="4863" w:val="left" w:leader="none"/>
        </w:tabs>
        <w:spacing w:before="39"/>
        <w:ind w:left="240" w:right="0" w:firstLine="0"/>
        <w:jc w:val="left"/>
        <w:rPr>
          <w:rFonts w:ascii="Carlito"/>
          <w:b/>
          <w:sz w:val="22"/>
        </w:rPr>
      </w:pPr>
      <w:r>
        <w:rPr>
          <w:rFonts w:ascii="Carlito"/>
          <w:b/>
          <w:sz w:val="22"/>
        </w:rPr>
        <w:t>Lack of</w:t>
      </w:r>
      <w:r>
        <w:rPr>
          <w:rFonts w:ascii="Carlito"/>
          <w:b/>
          <w:spacing w:val="-5"/>
          <w:sz w:val="22"/>
        </w:rPr>
        <w:t> </w:t>
      </w:r>
      <w:r>
        <w:rPr>
          <w:rFonts w:ascii="Carlito"/>
          <w:b/>
          <w:sz w:val="22"/>
        </w:rPr>
        <w:t>Generational</w:t>
      </w:r>
      <w:r>
        <w:rPr>
          <w:rFonts w:ascii="Carlito"/>
          <w:b/>
          <w:spacing w:val="-4"/>
          <w:sz w:val="22"/>
        </w:rPr>
        <w:t> </w:t>
      </w:r>
      <w:r>
        <w:rPr>
          <w:rFonts w:ascii="Carlito"/>
          <w:b/>
          <w:sz w:val="22"/>
        </w:rPr>
        <w:t>Stereotypes</w:t>
        <w:tab/>
      </w:r>
      <w:r>
        <w:rPr>
          <w:rFonts w:ascii="Carlito"/>
          <w:b/>
          <w:i/>
          <w:sz w:val="22"/>
        </w:rPr>
        <w:t>JSS</w:t>
      </w:r>
      <w:r>
        <w:rPr>
          <w:rFonts w:ascii="Carlito"/>
          <w:b/>
          <w:sz w:val="22"/>
        </w:rPr>
        <w:t>, Vol.11, No. 1</w:t>
      </w:r>
      <w:r>
        <w:rPr>
          <w:rFonts w:ascii="Carlito"/>
          <w:b/>
          <w:spacing w:val="-11"/>
          <w:sz w:val="22"/>
        </w:rPr>
        <w:t> </w:t>
      </w:r>
      <w:r>
        <w:rPr>
          <w:rFonts w:ascii="Carlito"/>
          <w:b/>
          <w:sz w:val="22"/>
        </w:rPr>
        <w:t>(2020)</w:t>
      </w:r>
    </w:p>
    <w:p>
      <w:pPr>
        <w:pStyle w:val="BodyText"/>
        <w:spacing w:before="8"/>
        <w:rPr>
          <w:rFonts w:ascii="Carlito"/>
          <w:b/>
          <w:sz w:val="14"/>
        </w:rPr>
      </w:pPr>
    </w:p>
    <w:p>
      <w:pPr>
        <w:pStyle w:val="BodyText"/>
        <w:tabs>
          <w:tab w:pos="972" w:val="left" w:leader="none"/>
          <w:tab w:pos="1063" w:val="left" w:leader="none"/>
          <w:tab w:pos="1123" w:val="left" w:leader="none"/>
          <w:tab w:pos="1679" w:val="left" w:leader="none"/>
          <w:tab w:pos="1859" w:val="left" w:leader="none"/>
          <w:tab w:pos="1996" w:val="left" w:leader="none"/>
          <w:tab w:pos="2100" w:val="left" w:leader="none"/>
          <w:tab w:pos="2349" w:val="left" w:leader="none"/>
          <w:tab w:pos="2663" w:val="left" w:leader="none"/>
          <w:tab w:pos="3000" w:val="left" w:leader="none"/>
          <w:tab w:pos="3152" w:val="left" w:leader="none"/>
          <w:tab w:pos="3556" w:val="left" w:leader="none"/>
          <w:tab w:pos="3811" w:val="left" w:leader="none"/>
          <w:tab w:pos="4601" w:val="left" w:leader="none"/>
          <w:tab w:pos="4807" w:val="left" w:leader="none"/>
          <w:tab w:pos="4886" w:val="left" w:leader="none"/>
          <w:tab w:pos="5258" w:val="left" w:leader="none"/>
          <w:tab w:pos="5306" w:val="left" w:leader="none"/>
          <w:tab w:pos="5614" w:val="left" w:leader="none"/>
          <w:tab w:pos="6457" w:val="left" w:leader="none"/>
          <w:tab w:pos="6526" w:val="left" w:leader="none"/>
          <w:tab w:pos="6694" w:val="left" w:leader="none"/>
          <w:tab w:pos="6729" w:val="left" w:leader="none"/>
        </w:tabs>
        <w:spacing w:line="276" w:lineRule="auto" w:before="90"/>
        <w:ind w:left="240" w:right="216"/>
      </w:pPr>
      <w:r>
        <w:rPr/>
        <w:t>positive stereotyping builds the collaborative environment among the generations that is helpful to increase organizational commitment (Fasbender, 2016). Besides, Justin and Michael (2017) considered the factors of age diversity have a role for generational common attitudes, cohort,</w:t>
        <w:tab/>
        <w:tab/>
        <w:tab/>
        <w:t>and</w:t>
        <w:tab/>
        <w:t>expectations.</w:t>
        <w:tab/>
        <w:tab/>
        <w:t>Generational</w:t>
        <w:tab/>
        <w:t>work</w:t>
        <w:tab/>
        <w:tab/>
        <w:t>environment</w:t>
        <w:tab/>
        <w:tab/>
        <w:tab/>
      </w:r>
      <w:r>
        <w:rPr>
          <w:spacing w:val="-5"/>
        </w:rPr>
        <w:t>and </w:t>
      </w:r>
      <w:r>
        <w:rPr/>
        <w:t>stereotyping are combinations of attitudes, perceptions of stereotyping, and values. Each generation has many stereotyping about the other generation based on overall work environment characteristics (Lober, 2017).</w:t>
        <w:tab/>
        <w:tab/>
        <w:tab/>
        <w:tab/>
        <w:tab/>
        <w:tab/>
        <w:tab/>
      </w:r>
      <w:r>
        <w:rPr>
          <w:b/>
        </w:rPr>
        <w:t>2.3.</w:t>
        <w:tab/>
        <w:tab/>
        <w:t>Generational</w:t>
        <w:tab/>
        <w:tab/>
        <w:tab/>
        <w:t>stereotyping</w:t>
        <w:tab/>
        <w:tab/>
        <w:tab/>
      </w:r>
      <w:r>
        <w:rPr>
          <w:b/>
          <w:spacing w:val="-6"/>
        </w:rPr>
        <w:t>and </w:t>
      </w:r>
      <w:r>
        <w:rPr>
          <w:b/>
        </w:rPr>
        <w:t>organizational</w:t>
      </w:r>
      <w:r>
        <w:rPr>
          <w:b/>
          <w:spacing w:val="-1"/>
        </w:rPr>
        <w:t> </w:t>
      </w:r>
      <w:r>
        <w:rPr>
          <w:b/>
        </w:rPr>
        <w:t>commitment</w:t>
        <w:tab/>
        <w:tab/>
        <w:tab/>
        <w:tab/>
        <w:tab/>
        <w:tab/>
        <w:tab/>
      </w:r>
      <w:r>
        <w:rPr/>
        <w:t>Organizational commitment relies on power, ethical behaviors, and informal rule among group members, (Hays-Thomas, 2016). Generational groups work</w:t>
        <w:tab/>
        <w:t>together</w:t>
        <w:tab/>
        <w:tab/>
        <w:t>with</w:t>
        <w:tab/>
        <w:t>having</w:t>
        <w:tab/>
        <w:t>different</w:t>
        <w:tab/>
        <w:t>dreams,</w:t>
        <w:tab/>
        <w:t>values,</w:t>
        <w:tab/>
        <w:tab/>
      </w:r>
      <w:r>
        <w:rPr>
          <w:spacing w:val="-4"/>
        </w:rPr>
        <w:t>ideas, </w:t>
      </w:r>
      <w:r>
        <w:rPr/>
        <w:t>expectations, and different views about each other that affect their will in the organization (Clark, 2017). In addition Dogan, et al (2008) described the generational differences and similarities of work characteristics from baby boomers to the millennial generation. Baby boomers generation live for work, respect their authority. Generation X works to live, give an immediate response to rewards. The millennial generation is more cheerful at their work, eager to go ahead, disliked burden of rules and work for new places (Morrow et al., 2012). According to Park (1950) Relationships among the diversified groups and their commitment have been identified by initial contact, cooperation, Conflict, and assimilation. Subsequently, Glass (2007) indicated that Generation X and Generation Y remain high raters at individualistic traits, extrinsic values, and organizational commitment (Torsello, 2019). Silent generation and this is considered that baby boomers generation remains a high acceptor of hard work, expression of ethics, and job hierarchy. Both generations have different characteristics, relationships, work ethics, acceptance of change, and views</w:t>
        <w:tab/>
        <w:tab/>
        <w:t>about</w:t>
        <w:tab/>
        <w:tab/>
        <w:t>an</w:t>
        <w:tab/>
        <w:tab/>
        <w:t>organization</w:t>
        <w:tab/>
        <w:tab/>
        <w:t>(Weeks</w:t>
        <w:tab/>
        <w:tab/>
        <w:t>&amp;</w:t>
        <w:tab/>
        <w:t>Schaffert,</w:t>
        <w:tab/>
      </w:r>
      <w:r>
        <w:rPr>
          <w:spacing w:val="-3"/>
        </w:rPr>
        <w:t>2019). </w:t>
      </w:r>
      <w:r>
        <w:rPr/>
        <w:t>Consequently, Dogan et al (2008) highlighted that Baby boomers generation lived to work, has job status, needs security for jobs, respects their authority, and avoids conflict. Generation X works to live, wants free house hours, value independence, importance give to jobs, open to change, likes to share, pragmatic wants learning, medium commitment to an organization, values relations with coworkers,</w:t>
      </w:r>
      <w:r>
        <w:rPr>
          <w:spacing w:val="11"/>
        </w:rPr>
        <w:t> </w:t>
      </w:r>
      <w:r>
        <w:rPr/>
        <w:t>looks</w:t>
      </w:r>
    </w:p>
    <w:p>
      <w:pPr>
        <w:spacing w:before="53"/>
        <w:ind w:left="24" w:right="0" w:firstLine="0"/>
        <w:jc w:val="center"/>
        <w:rPr>
          <w:rFonts w:ascii="Carlito"/>
          <w:sz w:val="22"/>
        </w:rPr>
      </w:pPr>
      <w:r>
        <w:rPr>
          <w:rFonts w:ascii="Carlito"/>
          <w:w w:val="100"/>
          <w:sz w:val="22"/>
        </w:rPr>
        <w:t>4</w:t>
      </w:r>
    </w:p>
    <w:p>
      <w:pPr>
        <w:spacing w:after="0"/>
        <w:jc w:val="center"/>
        <w:rPr>
          <w:rFonts w:ascii="Carlito"/>
          <w:sz w:val="22"/>
        </w:rPr>
        <w:sectPr>
          <w:pgSz w:w="9000" w:h="14040"/>
          <w:pgMar w:top="680" w:bottom="280" w:left="840" w:right="860"/>
        </w:sectPr>
      </w:pPr>
    </w:p>
    <w:p>
      <w:pPr>
        <w:tabs>
          <w:tab w:pos="4887" w:val="left" w:leader="none"/>
        </w:tabs>
        <w:spacing w:before="39"/>
        <w:ind w:left="240" w:right="0" w:firstLine="0"/>
        <w:jc w:val="left"/>
        <w:rPr>
          <w:rFonts w:ascii="Carlito"/>
          <w:b/>
          <w:sz w:val="22"/>
        </w:rPr>
      </w:pPr>
      <w:r>
        <w:rPr>
          <w:rFonts w:ascii="Carlito"/>
          <w:b/>
          <w:sz w:val="22"/>
        </w:rPr>
        <w:t>Kan</w:t>
      </w:r>
      <w:r>
        <w:rPr>
          <w:rFonts w:ascii="Carlito"/>
          <w:b/>
          <w:spacing w:val="-2"/>
          <w:sz w:val="22"/>
        </w:rPr>
        <w:t> </w:t>
      </w:r>
      <w:r>
        <w:rPr>
          <w:rFonts w:ascii="Carlito"/>
          <w:b/>
          <w:sz w:val="22"/>
        </w:rPr>
        <w:t>&amp;</w:t>
      </w:r>
      <w:r>
        <w:rPr>
          <w:rFonts w:ascii="Carlito"/>
          <w:b/>
          <w:spacing w:val="1"/>
          <w:sz w:val="22"/>
        </w:rPr>
        <w:t> </w:t>
      </w:r>
      <w:r>
        <w:rPr>
          <w:rFonts w:ascii="Carlito"/>
          <w:b/>
          <w:sz w:val="22"/>
        </w:rPr>
        <w:t>Gul</w:t>
        <w:tab/>
      </w:r>
      <w:r>
        <w:rPr>
          <w:rFonts w:ascii="Carlito"/>
          <w:b/>
          <w:i/>
          <w:sz w:val="22"/>
        </w:rPr>
        <w:t>JSS</w:t>
      </w:r>
      <w:r>
        <w:rPr>
          <w:rFonts w:ascii="Carlito"/>
          <w:b/>
          <w:sz w:val="22"/>
        </w:rPr>
        <w:t>, Vol.11, No. 1</w:t>
      </w:r>
      <w:r>
        <w:rPr>
          <w:rFonts w:ascii="Carlito"/>
          <w:b/>
          <w:spacing w:val="-8"/>
          <w:sz w:val="22"/>
        </w:rPr>
        <w:t> </w:t>
      </w:r>
      <w:r>
        <w:rPr>
          <w:rFonts w:ascii="Carlito"/>
          <w:b/>
          <w:sz w:val="22"/>
        </w:rPr>
        <w:t>(2020)</w:t>
      </w:r>
    </w:p>
    <w:p>
      <w:pPr>
        <w:pStyle w:val="BodyText"/>
        <w:spacing w:before="8"/>
        <w:rPr>
          <w:rFonts w:ascii="Carlito"/>
          <w:b/>
          <w:sz w:val="14"/>
        </w:rPr>
      </w:pPr>
    </w:p>
    <w:p>
      <w:pPr>
        <w:pStyle w:val="BodyText"/>
        <w:spacing w:line="276" w:lineRule="auto" w:before="90"/>
        <w:ind w:left="240" w:right="218"/>
        <w:jc w:val="both"/>
      </w:pPr>
      <w:r>
        <w:rPr/>
        <w:t>to book, looks both for intrinsic and extrinsic rewards (Torsello, 2019). However, studies elaborated that social interaction with coworkers and support from management has affected the individual work commitment to those having age diversity at the workplace (Adebayo, 2019)</w:t>
      </w:r>
    </w:p>
    <w:p>
      <w:pPr>
        <w:spacing w:line="276" w:lineRule="auto" w:before="120"/>
        <w:ind w:left="240" w:right="214" w:firstLine="0"/>
        <w:jc w:val="both"/>
        <w:rPr>
          <w:b/>
          <w:i/>
          <w:sz w:val="24"/>
        </w:rPr>
      </w:pPr>
      <w:r>
        <w:rPr>
          <w:b/>
          <w:i/>
          <w:sz w:val="24"/>
        </w:rPr>
        <w:t>Lack of generational stereotypes will impact on organizational </w:t>
      </w:r>
      <w:r>
        <w:rPr>
          <w:b/>
          <w:i/>
          <w:sz w:val="24"/>
        </w:rPr>
        <w:t>commitment (H1)</w:t>
      </w:r>
    </w:p>
    <w:p>
      <w:pPr>
        <w:pStyle w:val="ListParagraph"/>
        <w:numPr>
          <w:ilvl w:val="1"/>
          <w:numId w:val="2"/>
        </w:numPr>
        <w:tabs>
          <w:tab w:pos="602" w:val="left" w:leader="none"/>
        </w:tabs>
        <w:spacing w:line="240" w:lineRule="auto" w:before="119" w:after="0"/>
        <w:ind w:left="601" w:right="0" w:hanging="362"/>
        <w:jc w:val="both"/>
        <w:rPr>
          <w:b/>
          <w:sz w:val="24"/>
        </w:rPr>
      </w:pPr>
      <w:r>
        <w:rPr>
          <w:b/>
          <w:sz w:val="24"/>
        </w:rPr>
        <w:t>Mediating role of Organizational</w:t>
      </w:r>
      <w:r>
        <w:rPr>
          <w:b/>
          <w:spacing w:val="-3"/>
          <w:sz w:val="24"/>
        </w:rPr>
        <w:t> </w:t>
      </w:r>
      <w:r>
        <w:rPr>
          <w:b/>
          <w:sz w:val="24"/>
        </w:rPr>
        <w:t>commitment</w:t>
      </w:r>
    </w:p>
    <w:p>
      <w:pPr>
        <w:pStyle w:val="BodyText"/>
        <w:spacing w:line="276" w:lineRule="auto" w:before="164"/>
        <w:ind w:left="240" w:right="214"/>
        <w:jc w:val="both"/>
      </w:pPr>
      <w:r>
        <w:rPr/>
        <w:t>Organizational commitment and engagement have affected by generational age diversity (Akhavan Sarraf, Abzari, Nasr Isfahani, &amp; Fathi, 2017). For organizational commitment, the millennial generation is less committed to work. Generation X has perceived more job commitment. Generation y has perceived high turnover and low organizational commitment. (Zabel, Biermeier-Hanson, Baltes, Early, &amp; Shepard, 2017).The traditional generation has appeared as loyal and hardworking for their organization. Baby boomers generation has an optimistic attitude, team-oriented behaviors at the workplace. Generation X has independent attitudes, self-reliant, and pragmatic. Millennial has internet knowledge, optimistic, have meaningful work to their organization's performance, (Treffler &amp; Herzig, 2018). According to Sean et al (2016) organizational commitment plays the mediating role for the completion of work tasks and intergenerational relationships in the organization, (Beaudoin, Cianci, Hannah, &amp; Tsakumis, 2019). Moreover, D'Amato and Herzfeldt(2008) elaborated that work commitment links the relationship between generational talent retention and work outcomes. Further, this study revealed that the younger generation (Early and Late Xers, born 1960 and after) has a lower organizational commitment and ready to quit from the passage of time. Therefore Yi et al (2010) discussed that Generation x is socialistic open for organizational status. Millennial are freed to career choice and not fearful of the loss of jobs, (Urick, Hollensbe, Masterson, &amp; Lyons, 2017). Furthermore, Jeanine et al (2017) examined traits of four generations with workplace culture and organizational commitment. Millennial</w:t>
      </w:r>
      <w:r>
        <w:rPr>
          <w:spacing w:val="8"/>
        </w:rPr>
        <w:t> </w:t>
      </w:r>
      <w:r>
        <w:rPr/>
        <w:t>(GEN</w:t>
      </w:r>
      <w:r>
        <w:rPr>
          <w:spacing w:val="7"/>
        </w:rPr>
        <w:t> </w:t>
      </w:r>
      <w:r>
        <w:rPr/>
        <w:t>Y)</w:t>
      </w:r>
      <w:r>
        <w:rPr>
          <w:spacing w:val="7"/>
        </w:rPr>
        <w:t> </w:t>
      </w:r>
      <w:r>
        <w:rPr/>
        <w:t>is</w:t>
      </w:r>
      <w:r>
        <w:rPr>
          <w:spacing w:val="9"/>
        </w:rPr>
        <w:t> </w:t>
      </w:r>
      <w:r>
        <w:rPr/>
        <w:t>a</w:t>
      </w:r>
      <w:r>
        <w:rPr>
          <w:spacing w:val="11"/>
        </w:rPr>
        <w:t> </w:t>
      </w:r>
      <w:r>
        <w:rPr/>
        <w:t>generation</w:t>
      </w:r>
      <w:r>
        <w:rPr>
          <w:spacing w:val="8"/>
        </w:rPr>
        <w:t> </w:t>
      </w:r>
      <w:r>
        <w:rPr/>
        <w:t>that</w:t>
      </w:r>
      <w:r>
        <w:rPr>
          <w:spacing w:val="8"/>
        </w:rPr>
        <w:t> </w:t>
      </w:r>
      <w:r>
        <w:rPr/>
        <w:t>is</w:t>
      </w:r>
      <w:r>
        <w:rPr>
          <w:spacing w:val="9"/>
        </w:rPr>
        <w:t> </w:t>
      </w:r>
      <w:r>
        <w:rPr/>
        <w:t>conceptually</w:t>
      </w:r>
      <w:r>
        <w:rPr>
          <w:spacing w:val="8"/>
        </w:rPr>
        <w:t> </w:t>
      </w:r>
      <w:r>
        <w:rPr/>
        <w:t>different</w:t>
      </w:r>
      <w:r>
        <w:rPr>
          <w:spacing w:val="8"/>
        </w:rPr>
        <w:t> </w:t>
      </w:r>
      <w:r>
        <w:rPr/>
        <w:t>from</w:t>
      </w:r>
    </w:p>
    <w:p>
      <w:pPr>
        <w:spacing w:before="58"/>
        <w:ind w:left="24" w:right="0" w:firstLine="0"/>
        <w:jc w:val="center"/>
        <w:rPr>
          <w:rFonts w:ascii="Carlito"/>
          <w:sz w:val="22"/>
        </w:rPr>
      </w:pPr>
      <w:r>
        <w:rPr>
          <w:rFonts w:ascii="Carlito"/>
          <w:w w:val="100"/>
          <w:sz w:val="22"/>
        </w:rPr>
        <w:t>5</w:t>
      </w:r>
    </w:p>
    <w:p>
      <w:pPr>
        <w:spacing w:after="0"/>
        <w:jc w:val="center"/>
        <w:rPr>
          <w:rFonts w:ascii="Carlito"/>
          <w:sz w:val="22"/>
        </w:rPr>
        <w:sectPr>
          <w:pgSz w:w="9000" w:h="14040"/>
          <w:pgMar w:top="680" w:bottom="280" w:left="840" w:right="860"/>
        </w:sectPr>
      </w:pPr>
    </w:p>
    <w:p>
      <w:pPr>
        <w:tabs>
          <w:tab w:pos="4863" w:val="left" w:leader="none"/>
        </w:tabs>
        <w:spacing w:before="39"/>
        <w:ind w:left="240" w:right="0" w:firstLine="0"/>
        <w:jc w:val="left"/>
        <w:rPr>
          <w:rFonts w:ascii="Carlito"/>
          <w:b/>
          <w:sz w:val="22"/>
        </w:rPr>
      </w:pPr>
      <w:r>
        <w:rPr>
          <w:rFonts w:ascii="Carlito"/>
          <w:b/>
          <w:sz w:val="22"/>
        </w:rPr>
        <w:t>Lack of</w:t>
      </w:r>
      <w:r>
        <w:rPr>
          <w:rFonts w:ascii="Carlito"/>
          <w:b/>
          <w:spacing w:val="-5"/>
          <w:sz w:val="22"/>
        </w:rPr>
        <w:t> </w:t>
      </w:r>
      <w:r>
        <w:rPr>
          <w:rFonts w:ascii="Carlito"/>
          <w:b/>
          <w:sz w:val="22"/>
        </w:rPr>
        <w:t>Generational</w:t>
      </w:r>
      <w:r>
        <w:rPr>
          <w:rFonts w:ascii="Carlito"/>
          <w:b/>
          <w:spacing w:val="-4"/>
          <w:sz w:val="22"/>
        </w:rPr>
        <w:t> </w:t>
      </w:r>
      <w:r>
        <w:rPr>
          <w:rFonts w:ascii="Carlito"/>
          <w:b/>
          <w:sz w:val="22"/>
        </w:rPr>
        <w:t>Stereotypes</w:t>
        <w:tab/>
      </w:r>
      <w:r>
        <w:rPr>
          <w:rFonts w:ascii="Carlito"/>
          <w:b/>
          <w:i/>
          <w:sz w:val="22"/>
        </w:rPr>
        <w:t>JSS</w:t>
      </w:r>
      <w:r>
        <w:rPr>
          <w:rFonts w:ascii="Carlito"/>
          <w:b/>
          <w:sz w:val="22"/>
        </w:rPr>
        <w:t>, Vol.11, No. 1</w:t>
      </w:r>
      <w:r>
        <w:rPr>
          <w:rFonts w:ascii="Carlito"/>
          <w:b/>
          <w:spacing w:val="-7"/>
          <w:sz w:val="22"/>
        </w:rPr>
        <w:t> </w:t>
      </w:r>
      <w:r>
        <w:rPr>
          <w:rFonts w:ascii="Carlito"/>
          <w:b/>
          <w:sz w:val="22"/>
        </w:rPr>
        <w:t>(2020)</w:t>
      </w:r>
    </w:p>
    <w:p>
      <w:pPr>
        <w:pStyle w:val="BodyText"/>
        <w:spacing w:before="8"/>
        <w:rPr>
          <w:rFonts w:ascii="Carlito"/>
          <w:b/>
          <w:sz w:val="14"/>
        </w:rPr>
      </w:pPr>
    </w:p>
    <w:p>
      <w:pPr>
        <w:pStyle w:val="BodyText"/>
        <w:spacing w:line="276" w:lineRule="auto" w:before="90"/>
        <w:ind w:left="240" w:right="214"/>
        <w:jc w:val="both"/>
      </w:pPr>
      <w:r>
        <w:rPr/>
        <w:t>other generations in respect of loyalty to an organization. Generation  X has valued organizational ethics and values. Baby boomers generation values job security and retention. But in respect of stereotyping all generations are concerned with job satisfaction, self- performance, and retention. The study of Tremblay et al (2010) shows that generation X is less concentrated on goal achievement. The reason not to stay of Generation Y in an organization was found </w:t>
      </w:r>
      <w:r>
        <w:rPr>
          <w:spacing w:val="2"/>
        </w:rPr>
        <w:t>to </w:t>
      </w:r>
      <w:r>
        <w:rPr/>
        <w:t>the advancement of a career in better organizations (Hills, Ryan, Warren- Forward, &amp; Smith,</w:t>
      </w:r>
      <w:r>
        <w:rPr>
          <w:spacing w:val="-1"/>
        </w:rPr>
        <w:t> </w:t>
      </w:r>
      <w:r>
        <w:rPr/>
        <w:t>2013)</w:t>
      </w:r>
    </w:p>
    <w:p>
      <w:pPr>
        <w:spacing w:line="276" w:lineRule="auto" w:before="121"/>
        <w:ind w:left="240" w:right="223" w:firstLine="0"/>
        <w:jc w:val="both"/>
        <w:rPr>
          <w:b/>
          <w:i/>
          <w:sz w:val="24"/>
        </w:rPr>
      </w:pPr>
      <w:r>
        <w:rPr>
          <w:b/>
          <w:i/>
          <w:sz w:val="24"/>
        </w:rPr>
        <w:t>Organizational commitment plays mediating role between lack of </w:t>
      </w:r>
      <w:r>
        <w:rPr>
          <w:b/>
          <w:i/>
          <w:sz w:val="24"/>
        </w:rPr>
        <w:t>generational stereotyping and workplace intergenerational retention at the workplace (H2)</w:t>
      </w:r>
    </w:p>
    <w:p>
      <w:pPr>
        <w:pStyle w:val="ListParagraph"/>
        <w:numPr>
          <w:ilvl w:val="1"/>
          <w:numId w:val="2"/>
        </w:numPr>
        <w:tabs>
          <w:tab w:pos="602" w:val="left" w:leader="none"/>
          <w:tab w:pos="3120" w:val="left" w:leader="none"/>
        </w:tabs>
        <w:spacing w:line="276" w:lineRule="auto" w:before="120" w:after="0"/>
        <w:ind w:left="240" w:right="215" w:firstLine="0"/>
        <w:jc w:val="both"/>
        <w:rPr>
          <w:sz w:val="24"/>
        </w:rPr>
      </w:pPr>
      <w:r>
        <w:rPr>
          <w:b/>
          <w:sz w:val="24"/>
        </w:rPr>
        <w:t>Stereotyping and Intergenerational retention in the organizations</w:t>
        <w:tab/>
      </w:r>
      <w:r>
        <w:rPr>
          <w:sz w:val="24"/>
        </w:rPr>
        <w:t>Perceptions of stereotyping among generations affect the Relationship of coworkers. Prior researches indicated that perceptions relating to millennial of other generations that they are more energetic and has advanced knowledge of technology. These qualities make millennial a favorable group in the eyes of management and their retention in the organization. In the same way perceptions of favoritism towards generation X also exist in which they consider fewer advances in technology and remain a balance between work and life. Baby boomers generation has concerned about formal structure and traditional work. They have valued the ethical atmosphere to stay in the organization (Vosters &amp; Nybom, 2017). Retention of generation in an organization has mainly related to two categories: first, it has associated with Job Accomplishment (Interesting work, Job security) Secondly: Work Nature (Little stress and Good relationship (Ahmed, Öztop, &amp; Al- Salem, 2016). Age diversity, interpersonal skills, and electronic communication lead to the conflicting situation between the generations that further impact on the retention of various age groups in the organizations (Joshi, Dencker, &amp; Franz, 2011). Work ethics altruistic, intrinsic, and extrinsic values have affected the job satisfaction and level of retention of different generations (Deal, Altman, &amp; Rogelberg, 2010). Organizational security and level of stereotyping</w:t>
      </w:r>
      <w:r>
        <w:rPr>
          <w:spacing w:val="9"/>
          <w:sz w:val="24"/>
        </w:rPr>
        <w:t> </w:t>
      </w:r>
      <w:r>
        <w:rPr>
          <w:sz w:val="24"/>
        </w:rPr>
        <w:t>impact</w:t>
      </w:r>
      <w:r>
        <w:rPr>
          <w:spacing w:val="11"/>
          <w:sz w:val="24"/>
        </w:rPr>
        <w:t> </w:t>
      </w:r>
      <w:r>
        <w:rPr>
          <w:sz w:val="24"/>
        </w:rPr>
        <w:t>on</w:t>
      </w:r>
      <w:r>
        <w:rPr>
          <w:spacing w:val="10"/>
          <w:sz w:val="24"/>
        </w:rPr>
        <w:t> </w:t>
      </w:r>
      <w:r>
        <w:rPr>
          <w:sz w:val="24"/>
        </w:rPr>
        <w:t>the</w:t>
      </w:r>
      <w:r>
        <w:rPr>
          <w:spacing w:val="10"/>
          <w:sz w:val="24"/>
        </w:rPr>
        <w:t> </w:t>
      </w:r>
      <w:r>
        <w:rPr>
          <w:sz w:val="24"/>
        </w:rPr>
        <w:t>retention</w:t>
      </w:r>
      <w:r>
        <w:rPr>
          <w:spacing w:val="11"/>
          <w:sz w:val="24"/>
        </w:rPr>
        <w:t> </w:t>
      </w:r>
      <w:r>
        <w:rPr>
          <w:sz w:val="24"/>
        </w:rPr>
        <w:t>of</w:t>
      </w:r>
      <w:r>
        <w:rPr>
          <w:spacing w:val="11"/>
          <w:sz w:val="24"/>
        </w:rPr>
        <w:t> </w:t>
      </w:r>
      <w:r>
        <w:rPr>
          <w:sz w:val="24"/>
        </w:rPr>
        <w:t>employees</w:t>
      </w:r>
      <w:r>
        <w:rPr>
          <w:spacing w:val="11"/>
          <w:sz w:val="24"/>
        </w:rPr>
        <w:t> </w:t>
      </w:r>
      <w:r>
        <w:rPr>
          <w:sz w:val="24"/>
        </w:rPr>
        <w:t>in</w:t>
      </w:r>
      <w:r>
        <w:rPr>
          <w:spacing w:val="15"/>
          <w:sz w:val="24"/>
        </w:rPr>
        <w:t> </w:t>
      </w:r>
      <w:r>
        <w:rPr>
          <w:sz w:val="24"/>
        </w:rPr>
        <w:t>the</w:t>
      </w:r>
      <w:r>
        <w:rPr>
          <w:spacing w:val="10"/>
          <w:sz w:val="24"/>
        </w:rPr>
        <w:t> </w:t>
      </w:r>
      <w:r>
        <w:rPr>
          <w:sz w:val="24"/>
        </w:rPr>
        <w:t>organization,</w:t>
      </w:r>
    </w:p>
    <w:p>
      <w:pPr>
        <w:spacing w:before="130"/>
        <w:ind w:left="24" w:right="0" w:firstLine="0"/>
        <w:jc w:val="center"/>
        <w:rPr>
          <w:rFonts w:ascii="Carlito"/>
          <w:sz w:val="22"/>
        </w:rPr>
      </w:pPr>
      <w:r>
        <w:rPr>
          <w:rFonts w:ascii="Carlito"/>
          <w:w w:val="100"/>
          <w:sz w:val="22"/>
        </w:rPr>
        <w:t>6</w:t>
      </w:r>
    </w:p>
    <w:p>
      <w:pPr>
        <w:spacing w:after="0"/>
        <w:jc w:val="center"/>
        <w:rPr>
          <w:rFonts w:ascii="Carlito"/>
          <w:sz w:val="22"/>
        </w:rPr>
        <w:sectPr>
          <w:pgSz w:w="9000" w:h="14040"/>
          <w:pgMar w:top="680" w:bottom="280" w:left="840" w:right="860"/>
        </w:sectPr>
      </w:pPr>
    </w:p>
    <w:p>
      <w:pPr>
        <w:tabs>
          <w:tab w:pos="4887" w:val="left" w:leader="none"/>
        </w:tabs>
        <w:spacing w:before="39"/>
        <w:ind w:left="240" w:right="0" w:firstLine="0"/>
        <w:jc w:val="left"/>
        <w:rPr>
          <w:rFonts w:ascii="Carlito"/>
          <w:b/>
          <w:sz w:val="22"/>
        </w:rPr>
      </w:pPr>
      <w:r>
        <w:rPr>
          <w:rFonts w:ascii="Carlito"/>
          <w:b/>
          <w:sz w:val="22"/>
        </w:rPr>
        <w:t>Kan</w:t>
      </w:r>
      <w:r>
        <w:rPr>
          <w:rFonts w:ascii="Carlito"/>
          <w:b/>
          <w:spacing w:val="-2"/>
          <w:sz w:val="22"/>
        </w:rPr>
        <w:t> </w:t>
      </w:r>
      <w:r>
        <w:rPr>
          <w:rFonts w:ascii="Carlito"/>
          <w:b/>
          <w:sz w:val="22"/>
        </w:rPr>
        <w:t>&amp;</w:t>
      </w:r>
      <w:r>
        <w:rPr>
          <w:rFonts w:ascii="Carlito"/>
          <w:b/>
          <w:spacing w:val="1"/>
          <w:sz w:val="22"/>
        </w:rPr>
        <w:t> </w:t>
      </w:r>
      <w:r>
        <w:rPr>
          <w:rFonts w:ascii="Carlito"/>
          <w:b/>
          <w:sz w:val="22"/>
        </w:rPr>
        <w:t>Gul</w:t>
        <w:tab/>
      </w:r>
      <w:r>
        <w:rPr>
          <w:rFonts w:ascii="Carlito"/>
          <w:b/>
          <w:i/>
          <w:sz w:val="22"/>
        </w:rPr>
        <w:t>JSS</w:t>
      </w:r>
      <w:r>
        <w:rPr>
          <w:rFonts w:ascii="Carlito"/>
          <w:b/>
          <w:sz w:val="22"/>
        </w:rPr>
        <w:t>, Vol.11, No. 1</w:t>
      </w:r>
      <w:r>
        <w:rPr>
          <w:rFonts w:ascii="Carlito"/>
          <w:b/>
          <w:spacing w:val="-8"/>
          <w:sz w:val="22"/>
        </w:rPr>
        <w:t> </w:t>
      </w:r>
      <w:r>
        <w:rPr>
          <w:rFonts w:ascii="Carlito"/>
          <w:b/>
          <w:sz w:val="22"/>
        </w:rPr>
        <w:t>(2020)</w:t>
      </w:r>
    </w:p>
    <w:p>
      <w:pPr>
        <w:pStyle w:val="BodyText"/>
        <w:spacing w:before="8"/>
        <w:rPr>
          <w:rFonts w:ascii="Carlito"/>
          <w:b/>
          <w:sz w:val="14"/>
        </w:rPr>
      </w:pPr>
    </w:p>
    <w:p>
      <w:pPr>
        <w:pStyle w:val="BodyText"/>
        <w:spacing w:line="276" w:lineRule="auto" w:before="90"/>
        <w:ind w:left="240" w:right="217"/>
        <w:jc w:val="both"/>
      </w:pPr>
      <w:r>
        <w:rPr/>
        <w:t>(Deal et al., 2010). An effective work environment creates collaboration among generations and enhances productivity. Work environment, job relationships, and desirable characteristics are reasons for retention of various age groups, (Wieck, Dols, &amp; Landrum, 2010). Experience workers have divergent views about the younger employees to characterize their attitudes and behaviors and retention about constant change (Wieck et al., 2010).</w:t>
      </w:r>
    </w:p>
    <w:p>
      <w:pPr>
        <w:spacing w:line="278" w:lineRule="auto" w:before="119"/>
        <w:ind w:left="240" w:right="212" w:firstLine="0"/>
        <w:jc w:val="both"/>
        <w:rPr>
          <w:b/>
          <w:i/>
          <w:sz w:val="24"/>
        </w:rPr>
      </w:pPr>
      <w:r>
        <w:rPr>
          <w:b/>
          <w:i/>
          <w:sz w:val="24"/>
        </w:rPr>
        <w:t>Lack of Generational stereotype will impact workplace </w:t>
      </w:r>
      <w:r>
        <w:rPr>
          <w:b/>
          <w:i/>
          <w:sz w:val="24"/>
        </w:rPr>
        <w:t>intergenerational retention (H3)</w:t>
      </w:r>
    </w:p>
    <w:p>
      <w:pPr>
        <w:spacing w:before="116"/>
        <w:ind w:left="240" w:right="0" w:firstLine="0"/>
        <w:jc w:val="both"/>
        <w:rPr>
          <w:b/>
          <w:sz w:val="24"/>
        </w:rPr>
      </w:pPr>
      <w:r>
        <w:rPr>
          <w:b/>
          <w:sz w:val="24"/>
        </w:rPr>
        <w:t>Conceptual model</w:t>
      </w:r>
    </w:p>
    <w:p>
      <w:pPr>
        <w:pStyle w:val="BodyText"/>
        <w:rPr>
          <w:b/>
          <w:sz w:val="20"/>
        </w:rPr>
      </w:pPr>
    </w:p>
    <w:p>
      <w:pPr>
        <w:pStyle w:val="BodyText"/>
        <w:rPr>
          <w:b/>
          <w:sz w:val="20"/>
        </w:rPr>
      </w:pPr>
    </w:p>
    <w:p>
      <w:pPr>
        <w:pStyle w:val="BodyText"/>
        <w:spacing w:before="6"/>
        <w:rPr>
          <w:b/>
          <w:sz w:val="13"/>
        </w:rPr>
      </w:pPr>
      <w:r>
        <w:rPr/>
        <w:pict>
          <v:group style="position:absolute;margin-left:55.700001pt;margin-top:9.736621pt;width:326.9pt;height:127.35pt;mso-position-horizontal-relative:page;mso-position-vertical-relative:paragraph;z-index:-15727104;mso-wrap-distance-left:0;mso-wrap-distance-right:0" coordorigin="1114,195" coordsize="6538,2547">
            <v:shape style="position:absolute;left:3122;top:214;width:2340;height:1120" coordorigin="3122,215" coordsize="2340,1120" path="m4292,215l4191,217,4092,223,3997,233,3904,246,3815,263,3729,284,3648,307,3571,334,3499,363,3432,395,3371,430,3315,466,3266,505,3188,589,3139,679,3122,775,3126,823,3160,916,3224,1003,3315,1083,3371,1120,3432,1154,3499,1186,3571,1216,3648,1242,3729,1266,3815,1286,3904,1303,3997,1317,4092,1327,4191,1333,4292,1335,4393,1333,4492,1327,4587,1317,4680,1303,4769,1286,4855,1266,4936,1242,5013,1216,5085,1186,5152,1154,5213,1120,5269,1083,5318,1044,5396,960,5445,870,5462,775,5458,726,5424,633,5360,546,5269,466,5213,430,5152,395,5085,363,5013,334,4936,307,4855,284,4769,263,4680,246,4587,233,4492,223,4393,217,4292,215xe" filled="true" fillcolor="#4f81bc" stroked="false">
              <v:path arrowok="t"/>
              <v:fill type="solid"/>
            </v:shape>
            <v:shape style="position:absolute;left:3122;top:214;width:2340;height:1120" coordorigin="3122,215" coordsize="2340,1120" path="m4292,215l4191,217,4092,223,3997,233,3904,246,3815,263,3729,284,3648,307,3571,334,3499,363,3432,395,3371,430,3315,466,3266,505,3188,589,3139,679,3122,775,3126,823,3160,916,3224,1003,3315,1083,3371,1120,3432,1154,3499,1186,3571,1216,3648,1242,3729,1266,3815,1286,3904,1303,3997,1317,4092,1327,4191,1333,4292,1335,4393,1333,4492,1327,4587,1317,4680,1303,4769,1286,4855,1266,4936,1242,5013,1216,5085,1186,5152,1154,5213,1120,5269,1083,5318,1044,5396,960,5445,870,5462,775,5458,726,5424,633,5360,546,5269,466,5213,430,5152,395,5085,363,5013,334,4936,307,4855,284,4769,263,4680,246,4587,233,4492,223,4393,217,4292,215xe" filled="false" stroked="true" strokeweight="2pt" strokecolor="#233e5f">
              <v:path arrowok="t"/>
              <v:stroke dashstyle="solid"/>
            </v:shape>
            <v:shape style="position:absolute;left:1134;top:1321;width:2651;height:1400" coordorigin="1134,1322" coordsize="2651,1400" path="m2460,1322l2361,1324,2264,1329,2169,1339,2077,1351,1987,1367,1901,1387,1817,1409,1738,1435,1662,1463,1590,1493,1522,1527,1459,1562,1401,1600,1348,1641,1300,1683,1257,1727,1190,1820,1148,1918,1134,2022,1138,2074,1166,2175,1221,2271,1300,2361,1348,2403,1401,2443,1459,2481,1522,2517,1590,2550,1662,2581,1738,2609,1817,2634,1901,2657,1987,2676,2077,2692,2169,2705,2264,2714,2361,2720,2460,2722,2559,2720,2655,2714,2750,2705,2842,2692,2932,2676,3018,2657,3102,2634,3181,2609,3257,2581,3329,2550,3397,2517,3460,2481,3518,2443,3571,2403,3619,2361,3662,2317,3729,2224,3771,2125,3785,2022,3781,1969,3753,1868,3698,1772,3619,1683,3571,1641,3518,1600,3460,1562,3397,1527,3329,1493,3257,1463,3181,1435,3102,1409,3018,1387,2932,1367,2842,1351,2750,1339,2655,1329,2559,1324,2460,1322xe" filled="true" fillcolor="#4f81bc" stroked="false">
              <v:path arrowok="t"/>
              <v:fill type="solid"/>
            </v:shape>
            <v:shape style="position:absolute;left:1134;top:1321;width:2651;height:1400" coordorigin="1134,1322" coordsize="2651,1400" path="m2460,1322l2361,1324,2264,1329,2169,1339,2077,1351,1987,1367,1901,1387,1817,1409,1738,1435,1662,1463,1590,1493,1522,1527,1459,1562,1401,1600,1348,1641,1300,1683,1257,1727,1190,1820,1148,1918,1134,2022,1138,2074,1166,2175,1221,2271,1300,2361,1348,2403,1401,2443,1459,2481,1522,2517,1590,2550,1662,2581,1738,2609,1817,2634,1901,2657,1987,2676,2077,2692,2169,2705,2264,2714,2361,2720,2460,2722,2559,2720,2655,2714,2750,2705,2842,2692,2932,2676,3018,2657,3102,2634,3181,2609,3257,2581,3329,2550,3397,2517,3460,2481,3518,2443,3571,2403,3619,2361,3662,2317,3729,2224,3771,2125,3785,2022,3781,1969,3753,1868,3698,1772,3619,1683,3571,1641,3518,1600,3460,1562,3397,1527,3329,1493,3257,1463,3181,1435,3102,1409,3018,1387,2932,1367,2842,1351,2750,1339,2655,1329,2559,1324,2460,1322xe" filled="false" stroked="true" strokeweight="2pt" strokecolor="#233e5f">
              <v:path arrowok="t"/>
              <v:stroke dashstyle="solid"/>
            </v:shape>
            <v:shape style="position:absolute;left:1128;top:537;width:4796;height:1462" coordorigin="1128,538" coordsize="4796,1462" path="m3283,538l3122,549,3118,554,3118,559,3119,565,3123,569,3231,562,1128,1984,1140,2000,3242,578,3195,675,3197,681,3207,686,3213,684,3216,679,3282,541,3283,538xm4917,1733l4900,1723,4777,1651,4771,1653,4766,1663,4767,1669,4860,1723,3785,1723,3785,1743,4860,1743,4767,1797,4766,1803,4771,1813,4777,1814,4900,1743,4917,1733xm5924,1086l5813,977,5809,973,5802,973,5799,977,5795,981,5795,987,5799,991,5872,1062,5370,937,5366,957,5867,1082,5769,1110,5764,1112,5761,1117,5762,1123,5764,1128,5769,1131,5775,1130,5908,1091,5924,1086xe" filled="true" fillcolor="#4579b8" stroked="false">
              <v:path arrowok="t"/>
              <v:fill type="solid"/>
            </v:shape>
            <v:shape style="position:absolute;left:4922;top:1217;width:2710;height:1407" coordorigin="4922,1218" coordsize="2710,1407" path="m6277,1218l6180,1219,6085,1225,5992,1233,5902,1245,5814,1260,5728,1278,5646,1298,5567,1322,5491,1348,5419,1377,5351,1407,5287,1441,5228,1476,5173,1513,5123,1553,5077,1594,5003,1681,4952,1773,4925,1871,4922,1921,4925,1971,4952,2069,5003,2162,5077,2249,5123,2290,5173,2329,5228,2366,5287,2402,5351,2435,5419,2466,5491,2494,5567,2521,5646,2544,5728,2565,5814,2583,5902,2597,5992,2609,6085,2618,6180,2623,6277,2625,6374,2623,6469,2618,6562,2609,6652,2597,6740,2583,6826,2565,6908,2544,6987,2521,7063,2494,7135,2466,7203,2435,7267,2402,7326,2366,7381,2329,7431,2290,7477,2249,7551,2162,7602,2069,7629,1971,7632,1921,7629,1871,7602,1773,7551,1681,7477,1594,7431,1553,7381,1513,7326,1476,7267,1441,7203,1407,7135,1377,7063,1348,6987,1322,6908,1298,6826,1278,6740,1260,6652,1245,6562,1233,6469,1225,6374,1219,6277,1218xe" filled="true" fillcolor="#4f81bc" stroked="false">
              <v:path arrowok="t"/>
              <v:fill type="solid"/>
            </v:shape>
            <v:shape style="position:absolute;left:4922;top:1217;width:2710;height:1407" coordorigin="4922,1218" coordsize="2710,1407" path="m6277,1218l6180,1219,6085,1225,5992,1233,5902,1245,5814,1260,5728,1278,5646,1298,5567,1322,5491,1348,5419,1377,5351,1407,5287,1441,5228,1476,5173,1513,5123,1553,5077,1594,5003,1681,4952,1773,4925,1871,4922,1921,4925,1971,4952,2069,5003,2162,5077,2249,5123,2290,5173,2329,5228,2366,5287,2402,5351,2435,5419,2466,5491,2494,5567,2521,5646,2544,5728,2565,5814,2583,5902,2597,5992,2609,6085,2618,6180,2623,6277,2625,6374,2623,6469,2618,6562,2609,6652,2597,6740,2583,6826,2565,6908,2544,6987,2521,7063,2494,7135,2466,7203,2435,7267,2402,7326,2366,7381,2329,7431,2290,7477,2249,7551,2162,7602,2069,7629,1971,7632,1921,7629,1871,7602,1773,7551,1681,7477,1594,7431,1553,7381,1513,7326,1476,7267,1441,7203,1407,7135,1377,7063,1348,6987,1322,6908,1298,6826,1278,6740,1260,6652,1245,6562,1233,6469,1225,6374,1219,6277,1218xe" filled="false" stroked="true" strokeweight="2pt" strokecolor="#233e5f">
              <v:path arrowok="t"/>
              <v:stroke dashstyle="solid"/>
            </v:shape>
            <v:shapetype id="_x0000_t202" o:spt="202" coordsize="21600,21600" path="m,l,21600r21600,l21600,xe">
              <v:stroke joinstyle="miter"/>
              <v:path gradientshapeok="t" o:connecttype="rect"/>
            </v:shapetype>
            <v:shape style="position:absolute;left:3641;top:486;width:1324;height:531" type="#_x0000_t202" filled="false" stroked="false">
              <v:textbox inset="0,0,0,0">
                <w:txbxContent>
                  <w:p>
                    <w:pPr>
                      <w:spacing w:line="225" w:lineRule="exact" w:before="0"/>
                      <w:ind w:left="0" w:right="0" w:firstLine="0"/>
                      <w:jc w:val="left"/>
                      <w:rPr>
                        <w:rFonts w:ascii="Carlito"/>
                        <w:sz w:val="22"/>
                      </w:rPr>
                    </w:pPr>
                    <w:r>
                      <w:rPr>
                        <w:rFonts w:ascii="Carlito"/>
                        <w:sz w:val="22"/>
                      </w:rPr>
                      <w:t>Organizational</w:t>
                    </w:r>
                  </w:p>
                  <w:p>
                    <w:pPr>
                      <w:spacing w:line="265" w:lineRule="exact" w:before="41"/>
                      <w:ind w:left="71" w:right="0" w:firstLine="0"/>
                      <w:jc w:val="left"/>
                      <w:rPr>
                        <w:rFonts w:ascii="Carlito"/>
                        <w:sz w:val="22"/>
                      </w:rPr>
                    </w:pPr>
                    <w:r>
                      <w:rPr>
                        <w:rFonts w:ascii="Carlito"/>
                        <w:sz w:val="22"/>
                      </w:rPr>
                      <w:t>commitment</w:t>
                    </w:r>
                  </w:p>
                </w:txbxContent>
              </v:textbox>
              <w10:wrap type="none"/>
            </v:shape>
            <v:shape style="position:absolute;left:1874;top:1636;width:1190;height:838" type="#_x0000_t202" filled="false" stroked="false">
              <v:textbox inset="0,0,0,0">
                <w:txbxContent>
                  <w:p>
                    <w:pPr>
                      <w:spacing w:line="225" w:lineRule="exact" w:before="0"/>
                      <w:ind w:left="0" w:right="18" w:firstLine="0"/>
                      <w:jc w:val="center"/>
                      <w:rPr>
                        <w:rFonts w:ascii="Carlito"/>
                        <w:sz w:val="22"/>
                      </w:rPr>
                    </w:pPr>
                    <w:r>
                      <w:rPr>
                        <w:rFonts w:ascii="Carlito"/>
                        <w:sz w:val="22"/>
                      </w:rPr>
                      <w:t>Lack of</w:t>
                    </w:r>
                  </w:p>
                  <w:p>
                    <w:pPr>
                      <w:spacing w:line="310" w:lineRule="exact" w:before="0"/>
                      <w:ind w:left="0" w:right="18" w:firstLine="0"/>
                      <w:jc w:val="center"/>
                      <w:rPr>
                        <w:rFonts w:ascii="Carlito"/>
                        <w:sz w:val="22"/>
                      </w:rPr>
                    </w:pPr>
                    <w:r>
                      <w:rPr>
                        <w:rFonts w:ascii="Carlito"/>
                        <w:sz w:val="22"/>
                      </w:rPr>
                      <w:t>Generational stereotypes</w:t>
                    </w:r>
                  </w:p>
                </w:txbxContent>
              </v:textbox>
              <w10:wrap type="none"/>
            </v:shape>
            <v:shape style="position:absolute;left:5497;top:1533;width:1586;height:838" type="#_x0000_t202" filled="false" stroked="false">
              <v:textbox inset="0,0,0,0">
                <w:txbxContent>
                  <w:p>
                    <w:pPr>
                      <w:spacing w:line="225" w:lineRule="exact" w:before="0"/>
                      <w:ind w:left="0" w:right="19" w:firstLine="0"/>
                      <w:jc w:val="center"/>
                      <w:rPr>
                        <w:rFonts w:ascii="Carlito"/>
                        <w:sz w:val="22"/>
                      </w:rPr>
                    </w:pPr>
                    <w:r>
                      <w:rPr>
                        <w:rFonts w:ascii="Carlito"/>
                        <w:sz w:val="22"/>
                      </w:rPr>
                      <w:t>Workplace</w:t>
                    </w:r>
                  </w:p>
                  <w:p>
                    <w:pPr>
                      <w:spacing w:line="300" w:lineRule="atLeast" w:before="9"/>
                      <w:ind w:left="0" w:right="18" w:firstLine="0"/>
                      <w:jc w:val="center"/>
                      <w:rPr>
                        <w:rFonts w:ascii="Carlito"/>
                        <w:sz w:val="22"/>
                      </w:rPr>
                    </w:pPr>
                    <w:r>
                      <w:rPr>
                        <w:rFonts w:ascii="Carlito"/>
                        <w:sz w:val="22"/>
                      </w:rPr>
                      <w:t>Intergenerational retention</w:t>
                    </w:r>
                  </w:p>
                </w:txbxContent>
              </v:textbox>
              <w10:wrap type="none"/>
            </v:shape>
            <w10:wrap type="topAndBottom"/>
          </v:group>
        </w:pict>
      </w:r>
    </w:p>
    <w:p>
      <w:pPr>
        <w:pStyle w:val="ListParagraph"/>
        <w:numPr>
          <w:ilvl w:val="1"/>
          <w:numId w:val="2"/>
        </w:numPr>
        <w:tabs>
          <w:tab w:pos="661" w:val="left" w:leader="none"/>
        </w:tabs>
        <w:spacing w:line="240" w:lineRule="auto" w:before="0" w:after="0"/>
        <w:ind w:left="660" w:right="0" w:hanging="421"/>
        <w:jc w:val="left"/>
        <w:rPr>
          <w:b/>
          <w:sz w:val="24"/>
        </w:rPr>
      </w:pPr>
      <w:r>
        <w:rPr>
          <w:b/>
          <w:sz w:val="24"/>
        </w:rPr>
        <w:t>Theoretical</w:t>
      </w:r>
      <w:r>
        <w:rPr>
          <w:b/>
          <w:spacing w:val="-1"/>
          <w:sz w:val="24"/>
        </w:rPr>
        <w:t> </w:t>
      </w:r>
      <w:r>
        <w:rPr>
          <w:b/>
          <w:sz w:val="24"/>
        </w:rPr>
        <w:t>framework</w:t>
      </w:r>
    </w:p>
    <w:p>
      <w:pPr>
        <w:spacing w:before="162"/>
        <w:ind w:left="240" w:right="0" w:firstLine="0"/>
        <w:jc w:val="both"/>
        <w:rPr>
          <w:b/>
          <w:sz w:val="28"/>
        </w:rPr>
      </w:pPr>
      <w:r>
        <w:rPr>
          <w:b/>
          <w:sz w:val="28"/>
        </w:rPr>
        <w:t>Generational cohort theory</w:t>
      </w:r>
    </w:p>
    <w:p>
      <w:pPr>
        <w:pStyle w:val="BodyText"/>
        <w:spacing w:line="276" w:lineRule="auto" w:before="166"/>
        <w:ind w:left="240" w:right="216"/>
        <w:jc w:val="both"/>
      </w:pPr>
      <w:r>
        <w:rPr/>
        <w:t>The workplace environment has mainly included four types of generations. Each generation is based on a similar cohort in which are based on aggregate individual experiences to common time intervals, (Ryder, 1965). Generational cohort theory helps to understand the values and attitudes of various aged groups at a similar workplace, (Davis 2004). Generational cohort theory discusses that people born in similar generations have a common geographical, temporal, and cultural location, (Mannheim 1952). According to this theory, it is argued that members of the organization make the relationship with the organization and other individuals to fulfill their desire, (simola&amp; Sutton 2002). Further generational cohort theory elaborated that organizational</w:t>
      </w:r>
      <w:r>
        <w:rPr>
          <w:spacing w:val="8"/>
        </w:rPr>
        <w:t> </w:t>
      </w:r>
      <w:r>
        <w:rPr/>
        <w:t>performance</w:t>
      </w:r>
      <w:r>
        <w:rPr>
          <w:spacing w:val="8"/>
        </w:rPr>
        <w:t> </w:t>
      </w:r>
      <w:r>
        <w:rPr/>
        <w:t>has</w:t>
      </w:r>
      <w:r>
        <w:rPr>
          <w:spacing w:val="8"/>
        </w:rPr>
        <w:t> </w:t>
      </w:r>
      <w:r>
        <w:rPr/>
        <w:t>boosted</w:t>
      </w:r>
      <w:r>
        <w:rPr>
          <w:spacing w:val="11"/>
        </w:rPr>
        <w:t> </w:t>
      </w:r>
      <w:r>
        <w:rPr/>
        <w:t>by</w:t>
      </w:r>
      <w:r>
        <w:rPr>
          <w:spacing w:val="10"/>
        </w:rPr>
        <w:t> </w:t>
      </w:r>
      <w:r>
        <w:rPr/>
        <w:t>the</w:t>
      </w:r>
      <w:r>
        <w:rPr>
          <w:spacing w:val="8"/>
        </w:rPr>
        <w:t> </w:t>
      </w:r>
      <w:r>
        <w:rPr/>
        <w:t>positive</w:t>
      </w:r>
      <w:r>
        <w:rPr>
          <w:spacing w:val="8"/>
        </w:rPr>
        <w:t> </w:t>
      </w:r>
      <w:r>
        <w:rPr/>
        <w:t>group</w:t>
      </w:r>
    </w:p>
    <w:p>
      <w:pPr>
        <w:pStyle w:val="BodyText"/>
        <w:spacing w:before="2"/>
        <w:rPr>
          <w:sz w:val="12"/>
        </w:rPr>
      </w:pPr>
    </w:p>
    <w:p>
      <w:pPr>
        <w:spacing w:before="56"/>
        <w:ind w:left="24" w:right="0" w:firstLine="0"/>
        <w:jc w:val="center"/>
        <w:rPr>
          <w:rFonts w:ascii="Carlito"/>
          <w:sz w:val="22"/>
        </w:rPr>
      </w:pPr>
      <w:r>
        <w:rPr>
          <w:rFonts w:ascii="Carlito"/>
          <w:w w:val="100"/>
          <w:sz w:val="22"/>
        </w:rPr>
        <w:t>7</w:t>
      </w:r>
    </w:p>
    <w:p>
      <w:pPr>
        <w:spacing w:after="0"/>
        <w:jc w:val="center"/>
        <w:rPr>
          <w:rFonts w:ascii="Carlito"/>
          <w:sz w:val="22"/>
        </w:rPr>
        <w:sectPr>
          <w:pgSz w:w="9000" w:h="14040"/>
          <w:pgMar w:top="680" w:bottom="280" w:left="840" w:right="860"/>
        </w:sectPr>
      </w:pPr>
    </w:p>
    <w:p>
      <w:pPr>
        <w:tabs>
          <w:tab w:pos="4863" w:val="left" w:leader="none"/>
        </w:tabs>
        <w:spacing w:before="39"/>
        <w:ind w:left="240" w:right="0" w:firstLine="0"/>
        <w:jc w:val="left"/>
        <w:rPr>
          <w:rFonts w:ascii="Carlito"/>
          <w:b/>
          <w:sz w:val="22"/>
        </w:rPr>
      </w:pPr>
      <w:r>
        <w:rPr>
          <w:rFonts w:ascii="Carlito"/>
          <w:b/>
          <w:sz w:val="22"/>
        </w:rPr>
        <w:t>Lack of</w:t>
      </w:r>
      <w:r>
        <w:rPr>
          <w:rFonts w:ascii="Carlito"/>
          <w:b/>
          <w:spacing w:val="-5"/>
          <w:sz w:val="22"/>
        </w:rPr>
        <w:t> </w:t>
      </w:r>
      <w:r>
        <w:rPr>
          <w:rFonts w:ascii="Carlito"/>
          <w:b/>
          <w:sz w:val="22"/>
        </w:rPr>
        <w:t>Generational</w:t>
      </w:r>
      <w:r>
        <w:rPr>
          <w:rFonts w:ascii="Carlito"/>
          <w:b/>
          <w:spacing w:val="-4"/>
          <w:sz w:val="22"/>
        </w:rPr>
        <w:t> </w:t>
      </w:r>
      <w:r>
        <w:rPr>
          <w:rFonts w:ascii="Carlito"/>
          <w:b/>
          <w:sz w:val="22"/>
        </w:rPr>
        <w:t>Stereotypes</w:t>
        <w:tab/>
      </w:r>
      <w:r>
        <w:rPr>
          <w:rFonts w:ascii="Carlito"/>
          <w:b/>
          <w:i/>
          <w:sz w:val="22"/>
        </w:rPr>
        <w:t>JSS</w:t>
      </w:r>
      <w:r>
        <w:rPr>
          <w:rFonts w:ascii="Carlito"/>
          <w:b/>
          <w:sz w:val="22"/>
        </w:rPr>
        <w:t>, Vol.11, No. 1</w:t>
      </w:r>
      <w:r>
        <w:rPr>
          <w:rFonts w:ascii="Carlito"/>
          <w:b/>
          <w:spacing w:val="-7"/>
          <w:sz w:val="22"/>
        </w:rPr>
        <w:t> </w:t>
      </w:r>
      <w:r>
        <w:rPr>
          <w:rFonts w:ascii="Carlito"/>
          <w:b/>
          <w:sz w:val="22"/>
        </w:rPr>
        <w:t>(2020)</w:t>
      </w:r>
    </w:p>
    <w:p>
      <w:pPr>
        <w:pStyle w:val="BodyText"/>
        <w:spacing w:before="8"/>
        <w:rPr>
          <w:rFonts w:ascii="Carlito"/>
          <w:b/>
          <w:sz w:val="14"/>
        </w:rPr>
      </w:pPr>
    </w:p>
    <w:p>
      <w:pPr>
        <w:pStyle w:val="BodyText"/>
        <w:spacing w:line="276" w:lineRule="auto" w:before="90"/>
        <w:ind w:left="240" w:right="218"/>
        <w:jc w:val="both"/>
      </w:pPr>
      <w:r>
        <w:rPr/>
        <w:t>stereotyping, (Rydell, McConnel &amp; beilock, 2009). The lens of generational cohort theory associated the social identity of the employees with positive group stereotyping, (Rydell &amp; collegues, 2009).</w:t>
      </w:r>
    </w:p>
    <w:p>
      <w:pPr>
        <w:pStyle w:val="Heading1"/>
        <w:numPr>
          <w:ilvl w:val="0"/>
          <w:numId w:val="1"/>
        </w:numPr>
        <w:tabs>
          <w:tab w:pos="477" w:val="left" w:leader="none"/>
        </w:tabs>
        <w:spacing w:line="240" w:lineRule="auto" w:before="122" w:after="0"/>
        <w:ind w:left="476" w:right="0" w:hanging="237"/>
        <w:jc w:val="left"/>
      </w:pPr>
      <w:r>
        <w:rPr/>
        <w:t>Method</w:t>
      </w:r>
    </w:p>
    <w:p>
      <w:pPr>
        <w:pStyle w:val="Heading2"/>
        <w:numPr>
          <w:ilvl w:val="1"/>
          <w:numId w:val="1"/>
        </w:numPr>
        <w:tabs>
          <w:tab w:pos="661" w:val="left" w:leader="none"/>
        </w:tabs>
        <w:spacing w:line="240" w:lineRule="auto" w:before="166" w:after="0"/>
        <w:ind w:left="660" w:right="0" w:hanging="421"/>
        <w:jc w:val="both"/>
      </w:pPr>
      <w:r>
        <w:rPr/>
        <w:t>Sample and</w:t>
      </w:r>
      <w:r>
        <w:rPr>
          <w:spacing w:val="-2"/>
        </w:rPr>
        <w:t> </w:t>
      </w:r>
      <w:r>
        <w:rPr/>
        <w:t>design</w:t>
      </w:r>
    </w:p>
    <w:p>
      <w:pPr>
        <w:pStyle w:val="BodyText"/>
        <w:spacing w:line="276" w:lineRule="auto" w:before="161"/>
        <w:ind w:left="240" w:right="217"/>
        <w:jc w:val="both"/>
      </w:pPr>
      <w:r>
        <w:rPr/>
        <w:t>A quantitative cross-sectional design has been used to find the answer to a specific research problem. Four working generation's model by Stewart et al (2016) was adopted for this study as Baby boomers (1944-64), Generation X (1965-80), Millennial or Generation Y (1981- 1995), new millennial 1995 to onwards at the workplace. The population of current research has included all four types of generations working as teachers/educators in primary, middle, secondary, and higher secondary schools from the school education department of Government of Punjab. 3.2 Instruments</w:t>
      </w:r>
    </w:p>
    <w:p>
      <w:pPr>
        <w:pStyle w:val="Heading2"/>
        <w:numPr>
          <w:ilvl w:val="1"/>
          <w:numId w:val="3"/>
        </w:numPr>
        <w:tabs>
          <w:tab w:pos="601" w:val="left" w:leader="none"/>
        </w:tabs>
        <w:spacing w:line="240" w:lineRule="auto" w:before="121" w:after="0"/>
        <w:ind w:left="600" w:right="0" w:hanging="361"/>
        <w:jc w:val="both"/>
      </w:pPr>
      <w:r>
        <w:rPr/>
        <w:t>Instruments</w:t>
      </w:r>
    </w:p>
    <w:p>
      <w:pPr>
        <w:pStyle w:val="BodyText"/>
        <w:spacing w:line="276" w:lineRule="auto" w:before="163"/>
        <w:ind w:left="240" w:right="218"/>
        <w:jc w:val="both"/>
      </w:pPr>
      <w:r>
        <w:rPr/>
        <w:t>The study aims to investigate the answer to the question that how a lack of generational stereotyping can affect workplace intergenerational retention by the mediating role of organizational commitment to find this answer, the scale on lack of generational stereotyping and workplace intergenerational retention was developed by KING &amp; BRYANT (2017) has been used for data collection. The original scale has five subcategories (1) Lack of Generational Stereotypes (LGS), (2) Positive Intergenerational Affect (PIA), (3) Intergenerational Contact (IC), (4) Workplace Generational Inclusiveness (WGI), (5) Workplace Intergenerational Retention (WIR). Only two subcategories of intergenerational scale have included according to the fulfillment criteria of this study. 'First is Lack of generational stereotyping (LGS) which has four items. One of the sample statements is</w:t>
      </w:r>
      <w:r>
        <w:rPr>
          <w:b/>
        </w:rPr>
        <w:t>"(Co-workers outside my generation are not interested in making friends outside their generation). </w:t>
      </w:r>
      <w:r>
        <w:rPr/>
        <w:t>Workplace intergenerational retention is an outcome variable. To measure the outcome variable subscale of Workplace</w:t>
      </w:r>
      <w:r>
        <w:rPr>
          <w:spacing w:val="19"/>
        </w:rPr>
        <w:t> </w:t>
      </w:r>
      <w:r>
        <w:rPr/>
        <w:t>intergenerational</w:t>
      </w:r>
    </w:p>
    <w:p>
      <w:pPr>
        <w:pStyle w:val="BodyText"/>
        <w:rPr>
          <w:sz w:val="20"/>
        </w:rPr>
      </w:pPr>
    </w:p>
    <w:p>
      <w:pPr>
        <w:pStyle w:val="BodyText"/>
        <w:rPr>
          <w:sz w:val="20"/>
        </w:rPr>
      </w:pPr>
    </w:p>
    <w:p>
      <w:pPr>
        <w:pStyle w:val="BodyText"/>
        <w:spacing w:before="1"/>
        <w:rPr>
          <w:sz w:val="18"/>
        </w:rPr>
      </w:pPr>
    </w:p>
    <w:p>
      <w:pPr>
        <w:spacing w:before="0"/>
        <w:ind w:left="24" w:right="0" w:firstLine="0"/>
        <w:jc w:val="center"/>
        <w:rPr>
          <w:rFonts w:ascii="Carlito"/>
          <w:sz w:val="22"/>
        </w:rPr>
      </w:pPr>
      <w:r>
        <w:rPr>
          <w:rFonts w:ascii="Carlito"/>
          <w:w w:val="100"/>
          <w:sz w:val="22"/>
        </w:rPr>
        <w:t>8</w:t>
      </w:r>
    </w:p>
    <w:p>
      <w:pPr>
        <w:spacing w:after="0"/>
        <w:jc w:val="center"/>
        <w:rPr>
          <w:rFonts w:ascii="Carlito"/>
          <w:sz w:val="22"/>
        </w:rPr>
        <w:sectPr>
          <w:pgSz w:w="9000" w:h="14040"/>
          <w:pgMar w:top="680" w:bottom="280" w:left="840" w:right="860"/>
        </w:sectPr>
      </w:pPr>
    </w:p>
    <w:p>
      <w:pPr>
        <w:tabs>
          <w:tab w:pos="4887" w:val="left" w:leader="none"/>
        </w:tabs>
        <w:spacing w:before="39"/>
        <w:ind w:left="240" w:right="0" w:firstLine="0"/>
        <w:jc w:val="left"/>
        <w:rPr>
          <w:rFonts w:ascii="Carlito"/>
          <w:b/>
          <w:sz w:val="22"/>
        </w:rPr>
      </w:pPr>
      <w:r>
        <w:rPr>
          <w:rFonts w:ascii="Carlito"/>
          <w:b/>
          <w:sz w:val="22"/>
        </w:rPr>
        <w:t>Kan</w:t>
      </w:r>
      <w:r>
        <w:rPr>
          <w:rFonts w:ascii="Carlito"/>
          <w:b/>
          <w:spacing w:val="-2"/>
          <w:sz w:val="22"/>
        </w:rPr>
        <w:t> </w:t>
      </w:r>
      <w:r>
        <w:rPr>
          <w:rFonts w:ascii="Carlito"/>
          <w:b/>
          <w:sz w:val="22"/>
        </w:rPr>
        <w:t>&amp;</w:t>
      </w:r>
      <w:r>
        <w:rPr>
          <w:rFonts w:ascii="Carlito"/>
          <w:b/>
          <w:spacing w:val="1"/>
          <w:sz w:val="22"/>
        </w:rPr>
        <w:t> </w:t>
      </w:r>
      <w:r>
        <w:rPr>
          <w:rFonts w:ascii="Carlito"/>
          <w:b/>
          <w:sz w:val="22"/>
        </w:rPr>
        <w:t>Gul</w:t>
        <w:tab/>
      </w:r>
      <w:r>
        <w:rPr>
          <w:rFonts w:ascii="Carlito"/>
          <w:b/>
          <w:i/>
          <w:sz w:val="22"/>
        </w:rPr>
        <w:t>JSS</w:t>
      </w:r>
      <w:r>
        <w:rPr>
          <w:rFonts w:ascii="Carlito"/>
          <w:b/>
          <w:sz w:val="22"/>
        </w:rPr>
        <w:t>, Vol.11, No. 1</w:t>
      </w:r>
      <w:r>
        <w:rPr>
          <w:rFonts w:ascii="Carlito"/>
          <w:b/>
          <w:spacing w:val="-8"/>
          <w:sz w:val="22"/>
        </w:rPr>
        <w:t> </w:t>
      </w:r>
      <w:r>
        <w:rPr>
          <w:rFonts w:ascii="Carlito"/>
          <w:b/>
          <w:sz w:val="22"/>
        </w:rPr>
        <w:t>(2020)</w:t>
      </w:r>
    </w:p>
    <w:p>
      <w:pPr>
        <w:pStyle w:val="BodyText"/>
        <w:spacing w:before="8"/>
        <w:rPr>
          <w:rFonts w:ascii="Carlito"/>
          <w:b/>
          <w:sz w:val="14"/>
        </w:rPr>
      </w:pPr>
    </w:p>
    <w:p>
      <w:pPr>
        <w:spacing w:line="276" w:lineRule="auto" w:before="90"/>
        <w:ind w:left="240" w:right="216" w:firstLine="0"/>
        <w:jc w:val="both"/>
        <w:rPr>
          <w:b/>
          <w:sz w:val="24"/>
        </w:rPr>
      </w:pPr>
      <w:r>
        <w:rPr>
          <w:sz w:val="24"/>
        </w:rPr>
        <w:t>retention (WIR)" has used which has four items like </w:t>
      </w:r>
      <w:r>
        <w:rPr>
          <w:b/>
          <w:sz w:val="24"/>
        </w:rPr>
        <w:t>(My co-workers make older workers feel they should retire)</w:t>
      </w:r>
    </w:p>
    <w:p>
      <w:pPr>
        <w:pStyle w:val="Heading2"/>
        <w:numPr>
          <w:ilvl w:val="2"/>
          <w:numId w:val="3"/>
        </w:numPr>
        <w:tabs>
          <w:tab w:pos="841" w:val="left" w:leader="none"/>
        </w:tabs>
        <w:spacing w:line="240" w:lineRule="auto" w:before="119" w:after="0"/>
        <w:ind w:left="840" w:right="0" w:hanging="601"/>
        <w:jc w:val="both"/>
      </w:pPr>
      <w:r>
        <w:rPr/>
        <w:t>Organizational</w:t>
      </w:r>
      <w:r>
        <w:rPr>
          <w:spacing w:val="-3"/>
        </w:rPr>
        <w:t> </w:t>
      </w:r>
      <w:r>
        <w:rPr/>
        <w:t>commitment</w:t>
      </w:r>
    </w:p>
    <w:p>
      <w:pPr>
        <w:spacing w:line="276" w:lineRule="auto" w:before="163"/>
        <w:ind w:left="240" w:right="218" w:firstLine="0"/>
        <w:jc w:val="both"/>
        <w:rPr>
          <w:b/>
          <w:sz w:val="24"/>
        </w:rPr>
      </w:pPr>
      <w:r>
        <w:rPr>
          <w:sz w:val="24"/>
        </w:rPr>
        <w:t>Though various scales are available to measure commitment in the organization but the present research has used scale on organizational commitment was developed by MOWDAY &amp; STEERS (1979) for fulfilling the requirement of this study three items of the scale were used. The sample of items as: </w:t>
      </w:r>
      <w:r>
        <w:rPr>
          <w:b/>
          <w:sz w:val="24"/>
        </w:rPr>
        <w:t>"This organization inspires the very best in me in the way of job</w:t>
      </w:r>
      <w:r>
        <w:rPr>
          <w:b/>
          <w:spacing w:val="-3"/>
          <w:sz w:val="24"/>
        </w:rPr>
        <w:t> </w:t>
      </w:r>
      <w:r>
        <w:rPr>
          <w:b/>
          <w:sz w:val="24"/>
        </w:rPr>
        <w:t>performance."</w:t>
      </w:r>
    </w:p>
    <w:p>
      <w:pPr>
        <w:pStyle w:val="Heading2"/>
        <w:spacing w:before="120"/>
        <w:ind w:left="240"/>
      </w:pPr>
      <w:r>
        <w:rPr/>
        <w:t>3.2.2 Data collection</w:t>
      </w:r>
    </w:p>
    <w:p>
      <w:pPr>
        <w:pStyle w:val="BodyText"/>
        <w:spacing w:line="276" w:lineRule="auto" w:before="161"/>
        <w:ind w:left="240" w:right="215"/>
        <w:jc w:val="both"/>
      </w:pPr>
      <w:r>
        <w:rPr/>
        <w:t>The data was collected from Rawalpindi, Attock, Jhelum, and Chakwal cities. The questionnaire was distributed both in hard form and online method. To check the compatibility of the scale with Pakistani sample first pilot testing of the prepared questionnaires initially administered on the experts and employees. After checking feedback the questionnaires were administered on a sample of 50 and values of Cronbach's alpha were found greater than .70. The finalized scales were applied to the remaining samples of 250. The respondents were randomly selected and a connivance sampling strategy was used to complete the survey. 10 questionnaires were wrongly filled by the respondents and 34 questionnaires were not returned. The data of 206 respondents was finalized and collected for</w:t>
      </w:r>
      <w:r>
        <w:rPr>
          <w:spacing w:val="-1"/>
        </w:rPr>
        <w:t> </w:t>
      </w:r>
      <w:r>
        <w:rPr/>
        <w:t>analysis.</w:t>
      </w:r>
    </w:p>
    <w:p>
      <w:pPr>
        <w:pStyle w:val="Heading1"/>
        <w:numPr>
          <w:ilvl w:val="0"/>
          <w:numId w:val="1"/>
        </w:numPr>
        <w:tabs>
          <w:tab w:pos="546" w:val="left" w:leader="none"/>
        </w:tabs>
        <w:spacing w:line="240" w:lineRule="auto" w:before="122" w:after="0"/>
        <w:ind w:left="545" w:right="0" w:hanging="306"/>
        <w:jc w:val="both"/>
      </w:pPr>
      <w:r>
        <w:rPr/>
        <w:t>Data Analysis</w:t>
      </w:r>
    </w:p>
    <w:p>
      <w:pPr>
        <w:pStyle w:val="Heading2"/>
        <w:numPr>
          <w:ilvl w:val="1"/>
          <w:numId w:val="4"/>
        </w:numPr>
        <w:tabs>
          <w:tab w:pos="601" w:val="left" w:leader="none"/>
        </w:tabs>
        <w:spacing w:line="240" w:lineRule="auto" w:before="167" w:after="0"/>
        <w:ind w:left="600" w:right="0" w:hanging="361"/>
        <w:jc w:val="both"/>
      </w:pPr>
      <w:r>
        <w:rPr/>
        <w:t>Control</w:t>
      </w:r>
      <w:r>
        <w:rPr>
          <w:spacing w:val="-1"/>
        </w:rPr>
        <w:t> </w:t>
      </w:r>
      <w:r>
        <w:rPr/>
        <w:t>variable</w:t>
      </w:r>
    </w:p>
    <w:p>
      <w:pPr>
        <w:pStyle w:val="BodyText"/>
        <w:spacing w:line="276" w:lineRule="auto" w:before="163"/>
        <w:ind w:left="240" w:right="217"/>
        <w:jc w:val="both"/>
      </w:pPr>
      <w:r>
        <w:rPr/>
        <w:t>This study has contained age, gender, and level of education as control variables. Initially, data analyses were run on SPSS for descriptive analysis. The following tables are shown the mean median, mode, and the level of education, gender percentage, and generational groups. The total number of participants was 206, out of which 111 were male (53.9%) and 95 were female (46.1%). Moreover, BABY BOOMERS which have a birth year (1944-1964) were 11.2 %, GEN X (1965-80) was 21.4%, GEN Y (1981-1995) was 28.2% and NEW</w:t>
      </w:r>
      <w:r>
        <w:rPr>
          <w:spacing w:val="3"/>
        </w:rPr>
        <w:t> </w:t>
      </w:r>
      <w:r>
        <w:rPr/>
        <w:t>MILLENNIAL</w:t>
      </w:r>
    </w:p>
    <w:p>
      <w:pPr>
        <w:pStyle w:val="BodyText"/>
        <w:spacing w:line="274" w:lineRule="exact"/>
        <w:ind w:left="240"/>
        <w:jc w:val="both"/>
      </w:pPr>
      <w:r>
        <w:rPr/>
        <w:t>(11995</w:t>
      </w:r>
      <w:r>
        <w:rPr>
          <w:spacing w:val="34"/>
        </w:rPr>
        <w:t> </w:t>
      </w:r>
      <w:r>
        <w:rPr/>
        <w:t>to</w:t>
      </w:r>
      <w:r>
        <w:rPr>
          <w:spacing w:val="35"/>
        </w:rPr>
        <w:t> </w:t>
      </w:r>
      <w:r>
        <w:rPr/>
        <w:t>onwards)</w:t>
      </w:r>
      <w:r>
        <w:rPr>
          <w:spacing w:val="36"/>
        </w:rPr>
        <w:t> </w:t>
      </w:r>
      <w:r>
        <w:rPr/>
        <w:t>were</w:t>
      </w:r>
      <w:r>
        <w:rPr>
          <w:spacing w:val="33"/>
        </w:rPr>
        <w:t> </w:t>
      </w:r>
      <w:r>
        <w:rPr/>
        <w:t>39.3%.</w:t>
      </w:r>
      <w:r>
        <w:rPr>
          <w:spacing w:val="35"/>
        </w:rPr>
        <w:t> </w:t>
      </w:r>
      <w:r>
        <w:rPr/>
        <w:t>Respondents</w:t>
      </w:r>
      <w:r>
        <w:rPr>
          <w:spacing w:val="35"/>
        </w:rPr>
        <w:t> </w:t>
      </w:r>
      <w:r>
        <w:rPr/>
        <w:t>of</w:t>
      </w:r>
      <w:r>
        <w:rPr>
          <w:spacing w:val="35"/>
        </w:rPr>
        <w:t> </w:t>
      </w:r>
      <w:r>
        <w:rPr/>
        <w:t>this</w:t>
      </w:r>
      <w:r>
        <w:rPr>
          <w:spacing w:val="35"/>
        </w:rPr>
        <w:t> </w:t>
      </w:r>
      <w:r>
        <w:rPr/>
        <w:t>study</w:t>
      </w:r>
      <w:r>
        <w:rPr>
          <w:spacing w:val="36"/>
        </w:rPr>
        <w:t> </w:t>
      </w:r>
      <w:r>
        <w:rPr/>
        <w:t>by</w:t>
      </w:r>
      <w:r>
        <w:rPr>
          <w:spacing w:val="34"/>
        </w:rPr>
        <w:t> </w:t>
      </w:r>
      <w:r>
        <w:rPr/>
        <w:t>their</w:t>
      </w:r>
    </w:p>
    <w:p>
      <w:pPr>
        <w:pStyle w:val="BodyText"/>
        <w:spacing w:before="8"/>
        <w:rPr>
          <w:sz w:val="12"/>
        </w:rPr>
      </w:pPr>
    </w:p>
    <w:p>
      <w:pPr>
        <w:spacing w:before="56"/>
        <w:ind w:left="24" w:right="0" w:firstLine="0"/>
        <w:jc w:val="center"/>
        <w:rPr>
          <w:rFonts w:ascii="Carlito"/>
          <w:sz w:val="22"/>
        </w:rPr>
      </w:pPr>
      <w:r>
        <w:rPr>
          <w:rFonts w:ascii="Carlito"/>
          <w:w w:val="100"/>
          <w:sz w:val="22"/>
        </w:rPr>
        <w:t>9</w:t>
      </w:r>
    </w:p>
    <w:p>
      <w:pPr>
        <w:spacing w:after="0"/>
        <w:jc w:val="center"/>
        <w:rPr>
          <w:rFonts w:ascii="Carlito"/>
          <w:sz w:val="22"/>
        </w:rPr>
        <w:sectPr>
          <w:pgSz w:w="9000" w:h="14040"/>
          <w:pgMar w:top="680" w:bottom="280" w:left="840" w:right="860"/>
        </w:sectPr>
      </w:pPr>
    </w:p>
    <w:p>
      <w:pPr>
        <w:tabs>
          <w:tab w:pos="4863" w:val="left" w:leader="none"/>
        </w:tabs>
        <w:spacing w:before="39"/>
        <w:ind w:left="240" w:right="0" w:firstLine="0"/>
        <w:jc w:val="left"/>
        <w:rPr>
          <w:rFonts w:ascii="Carlito"/>
          <w:b/>
          <w:sz w:val="22"/>
        </w:rPr>
      </w:pPr>
      <w:r>
        <w:rPr>
          <w:rFonts w:ascii="Carlito"/>
          <w:b/>
          <w:sz w:val="22"/>
        </w:rPr>
        <w:t>Lack of</w:t>
      </w:r>
      <w:r>
        <w:rPr>
          <w:rFonts w:ascii="Carlito"/>
          <w:b/>
          <w:spacing w:val="-5"/>
          <w:sz w:val="22"/>
        </w:rPr>
        <w:t> </w:t>
      </w:r>
      <w:r>
        <w:rPr>
          <w:rFonts w:ascii="Carlito"/>
          <w:b/>
          <w:sz w:val="22"/>
        </w:rPr>
        <w:t>Generational</w:t>
      </w:r>
      <w:r>
        <w:rPr>
          <w:rFonts w:ascii="Carlito"/>
          <w:b/>
          <w:spacing w:val="-4"/>
          <w:sz w:val="22"/>
        </w:rPr>
        <w:t> </w:t>
      </w:r>
      <w:r>
        <w:rPr>
          <w:rFonts w:ascii="Carlito"/>
          <w:b/>
          <w:sz w:val="22"/>
        </w:rPr>
        <w:t>Stereotypes</w:t>
        <w:tab/>
      </w:r>
      <w:r>
        <w:rPr>
          <w:rFonts w:ascii="Carlito"/>
          <w:b/>
          <w:i/>
          <w:sz w:val="22"/>
        </w:rPr>
        <w:t>JSS</w:t>
      </w:r>
      <w:r>
        <w:rPr>
          <w:rFonts w:ascii="Carlito"/>
          <w:b/>
          <w:sz w:val="22"/>
        </w:rPr>
        <w:t>, Vol.11, No. 1</w:t>
      </w:r>
      <w:r>
        <w:rPr>
          <w:rFonts w:ascii="Carlito"/>
          <w:b/>
          <w:spacing w:val="-11"/>
          <w:sz w:val="22"/>
        </w:rPr>
        <w:t> </w:t>
      </w:r>
      <w:r>
        <w:rPr>
          <w:rFonts w:ascii="Carlito"/>
          <w:b/>
          <w:sz w:val="22"/>
        </w:rPr>
        <w:t>(2020)</w:t>
      </w:r>
    </w:p>
    <w:p>
      <w:pPr>
        <w:pStyle w:val="BodyText"/>
        <w:spacing w:before="8"/>
        <w:rPr>
          <w:rFonts w:ascii="Carlito"/>
          <w:b/>
          <w:sz w:val="14"/>
        </w:rPr>
      </w:pPr>
    </w:p>
    <w:p>
      <w:pPr>
        <w:pStyle w:val="BodyText"/>
        <w:spacing w:before="90"/>
        <w:ind w:left="225" w:right="209"/>
        <w:jc w:val="center"/>
      </w:pPr>
      <w:r>
        <w:rPr/>
        <w:t>level</w:t>
      </w:r>
      <w:r>
        <w:rPr>
          <w:spacing w:val="18"/>
        </w:rPr>
        <w:t> </w:t>
      </w:r>
      <w:r>
        <w:rPr/>
        <w:t>of</w:t>
      </w:r>
      <w:r>
        <w:rPr>
          <w:spacing w:val="17"/>
        </w:rPr>
        <w:t> </w:t>
      </w:r>
      <w:r>
        <w:rPr/>
        <w:t>education,</w:t>
      </w:r>
      <w:r>
        <w:rPr>
          <w:spacing w:val="18"/>
        </w:rPr>
        <w:t> </w:t>
      </w:r>
      <w:r>
        <w:rPr/>
        <w:t>23.8%</w:t>
      </w:r>
      <w:r>
        <w:rPr>
          <w:spacing w:val="17"/>
        </w:rPr>
        <w:t> </w:t>
      </w:r>
      <w:r>
        <w:rPr/>
        <w:t>(49)</w:t>
      </w:r>
      <w:r>
        <w:rPr>
          <w:spacing w:val="17"/>
        </w:rPr>
        <w:t> </w:t>
      </w:r>
      <w:r>
        <w:rPr/>
        <w:t>holds</w:t>
      </w:r>
      <w:r>
        <w:rPr>
          <w:spacing w:val="18"/>
        </w:rPr>
        <w:t> </w:t>
      </w:r>
      <w:r>
        <w:rPr/>
        <w:t>"M.Phil./MS",</w:t>
      </w:r>
      <w:r>
        <w:rPr>
          <w:spacing w:val="18"/>
        </w:rPr>
        <w:t> </w:t>
      </w:r>
      <w:r>
        <w:rPr/>
        <w:t>35.9%</w:t>
      </w:r>
      <w:r>
        <w:rPr>
          <w:spacing w:val="18"/>
        </w:rPr>
        <w:t> </w:t>
      </w:r>
      <w:r>
        <w:rPr/>
        <w:t>(74)</w:t>
      </w:r>
      <w:r>
        <w:rPr>
          <w:spacing w:val="16"/>
        </w:rPr>
        <w:t> </w:t>
      </w:r>
      <w:r>
        <w:rPr/>
        <w:t>holds</w:t>
      </w:r>
    </w:p>
    <w:p>
      <w:pPr>
        <w:pStyle w:val="BodyText"/>
        <w:spacing w:line="276" w:lineRule="auto" w:before="41"/>
        <w:ind w:left="225" w:right="209"/>
        <w:jc w:val="center"/>
      </w:pPr>
      <w:r>
        <w:rPr/>
        <w:t>"Master degree", and 28.6% (59) holds "Graduation", 8.3% (17) </w:t>
      </w:r>
      <w:r>
        <w:rPr>
          <w:spacing w:val="-3"/>
        </w:rPr>
        <w:t>Holds </w:t>
      </w:r>
      <w:r>
        <w:rPr/>
        <w:t>“Intermediate" and only 3.4% (07) holds "Matriculation"</w:t>
      </w:r>
      <w:r>
        <w:rPr>
          <w:spacing w:val="-9"/>
        </w:rPr>
        <w:t> </w:t>
      </w:r>
      <w:r>
        <w:rPr/>
        <w:t>qualification.</w:t>
      </w:r>
    </w:p>
    <w:p>
      <w:pPr>
        <w:spacing w:before="121" w:after="42"/>
        <w:ind w:left="225" w:right="208" w:firstLine="0"/>
        <w:jc w:val="center"/>
        <w:rPr>
          <w:b/>
          <w:i/>
          <w:sz w:val="24"/>
        </w:rPr>
      </w:pPr>
      <w:r>
        <w:rPr>
          <w:b/>
          <w:sz w:val="24"/>
        </w:rPr>
        <w:t>Table 1 </w:t>
      </w:r>
      <w:r>
        <w:rPr>
          <w:b/>
          <w:i/>
          <w:color w:val="000104"/>
          <w:sz w:val="24"/>
        </w:rPr>
        <w:t>GENERATIONAL GROUPS</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4"/>
        <w:gridCol w:w="1309"/>
        <w:gridCol w:w="1004"/>
        <w:gridCol w:w="1121"/>
        <w:gridCol w:w="1545"/>
      </w:tblGrid>
      <w:tr>
        <w:trPr>
          <w:trHeight w:val="753" w:hRule="atLeast"/>
        </w:trPr>
        <w:tc>
          <w:tcPr>
            <w:tcW w:w="2094" w:type="dxa"/>
            <w:tcBorders>
              <w:top w:val="single" w:sz="4" w:space="0" w:color="000000"/>
              <w:bottom w:val="single" w:sz="4" w:space="0" w:color="000000"/>
            </w:tcBorders>
          </w:tcPr>
          <w:p>
            <w:pPr>
              <w:pStyle w:val="TableParagraph"/>
              <w:spacing w:line="310" w:lineRule="atLeast" w:before="85"/>
              <w:ind w:left="131" w:right="596"/>
              <w:rPr>
                <w:b/>
                <w:sz w:val="24"/>
              </w:rPr>
            </w:pPr>
            <w:r>
              <w:rPr>
                <w:b/>
                <w:sz w:val="24"/>
              </w:rPr>
              <w:t>Generational group</w:t>
            </w:r>
          </w:p>
        </w:tc>
        <w:tc>
          <w:tcPr>
            <w:tcW w:w="1309" w:type="dxa"/>
            <w:tcBorders>
              <w:top w:val="single" w:sz="4" w:space="0" w:color="000000"/>
              <w:bottom w:val="single" w:sz="4" w:space="0" w:color="000000"/>
            </w:tcBorders>
          </w:tcPr>
          <w:p>
            <w:pPr>
              <w:pStyle w:val="TableParagraph"/>
              <w:spacing w:before="119"/>
              <w:ind w:left="107"/>
              <w:rPr>
                <w:b/>
                <w:sz w:val="24"/>
              </w:rPr>
            </w:pPr>
            <w:r>
              <w:rPr>
                <w:b/>
                <w:color w:val="25495F"/>
                <w:sz w:val="24"/>
              </w:rPr>
              <w:t>Frequency</w:t>
            </w:r>
          </w:p>
        </w:tc>
        <w:tc>
          <w:tcPr>
            <w:tcW w:w="1004" w:type="dxa"/>
            <w:tcBorders>
              <w:top w:val="single" w:sz="4" w:space="0" w:color="000000"/>
              <w:bottom w:val="single" w:sz="4" w:space="0" w:color="000000"/>
            </w:tcBorders>
          </w:tcPr>
          <w:p>
            <w:pPr>
              <w:pStyle w:val="TableParagraph"/>
              <w:spacing w:before="119"/>
              <w:ind w:left="109"/>
              <w:rPr>
                <w:b/>
                <w:sz w:val="24"/>
              </w:rPr>
            </w:pPr>
            <w:r>
              <w:rPr>
                <w:b/>
                <w:color w:val="25495F"/>
                <w:sz w:val="24"/>
              </w:rPr>
              <w:t>Percent</w:t>
            </w:r>
          </w:p>
        </w:tc>
        <w:tc>
          <w:tcPr>
            <w:tcW w:w="1121" w:type="dxa"/>
            <w:tcBorders>
              <w:top w:val="single" w:sz="4" w:space="0" w:color="000000"/>
              <w:bottom w:val="single" w:sz="4" w:space="0" w:color="000000"/>
            </w:tcBorders>
          </w:tcPr>
          <w:p>
            <w:pPr>
              <w:pStyle w:val="TableParagraph"/>
              <w:spacing w:line="310" w:lineRule="atLeast" w:before="85"/>
              <w:ind w:left="108" w:right="206" w:firstLine="180"/>
              <w:rPr>
                <w:b/>
                <w:sz w:val="24"/>
              </w:rPr>
            </w:pPr>
            <w:r>
              <w:rPr>
                <w:b/>
                <w:color w:val="25495F"/>
                <w:sz w:val="24"/>
              </w:rPr>
              <w:t>Valid Percent</w:t>
            </w:r>
          </w:p>
        </w:tc>
        <w:tc>
          <w:tcPr>
            <w:tcW w:w="1545" w:type="dxa"/>
            <w:tcBorders>
              <w:top w:val="single" w:sz="4" w:space="0" w:color="000000"/>
              <w:bottom w:val="single" w:sz="4" w:space="0" w:color="000000"/>
            </w:tcBorders>
          </w:tcPr>
          <w:p>
            <w:pPr>
              <w:pStyle w:val="TableParagraph"/>
              <w:spacing w:line="310" w:lineRule="atLeast" w:before="85"/>
              <w:ind w:left="226" w:right="99"/>
              <w:rPr>
                <w:b/>
                <w:sz w:val="24"/>
              </w:rPr>
            </w:pPr>
            <w:r>
              <w:rPr>
                <w:b/>
                <w:color w:val="25495F"/>
                <w:sz w:val="24"/>
              </w:rPr>
              <w:t>Cumulative Percent</w:t>
            </w:r>
          </w:p>
        </w:tc>
      </w:tr>
      <w:tr>
        <w:trPr>
          <w:trHeight w:val="800" w:hRule="atLeast"/>
        </w:trPr>
        <w:tc>
          <w:tcPr>
            <w:tcW w:w="2094" w:type="dxa"/>
            <w:tcBorders>
              <w:top w:val="single" w:sz="4" w:space="0" w:color="000000"/>
            </w:tcBorders>
          </w:tcPr>
          <w:p>
            <w:pPr>
              <w:pStyle w:val="TableParagraph"/>
              <w:tabs>
                <w:tab w:pos="1158" w:val="left" w:leader="none"/>
              </w:tabs>
              <w:spacing w:line="276" w:lineRule="auto" w:before="121"/>
              <w:ind w:left="131" w:right="108"/>
              <w:rPr>
                <w:sz w:val="24"/>
              </w:rPr>
            </w:pPr>
            <w:r>
              <w:rPr>
                <w:color w:val="25495F"/>
                <w:sz w:val="24"/>
              </w:rPr>
              <w:t>Baby</w:t>
              <w:tab/>
            </w:r>
            <w:r>
              <w:rPr>
                <w:color w:val="25495F"/>
                <w:spacing w:val="-4"/>
                <w:sz w:val="24"/>
              </w:rPr>
              <w:t>boomers </w:t>
            </w:r>
            <w:r>
              <w:rPr>
                <w:color w:val="25495F"/>
                <w:sz w:val="24"/>
              </w:rPr>
              <w:t>(1944-1964</w:t>
            </w:r>
          </w:p>
        </w:tc>
        <w:tc>
          <w:tcPr>
            <w:tcW w:w="1309" w:type="dxa"/>
            <w:tcBorders>
              <w:top w:val="single" w:sz="4" w:space="0" w:color="000000"/>
            </w:tcBorders>
          </w:tcPr>
          <w:p>
            <w:pPr>
              <w:pStyle w:val="TableParagraph"/>
              <w:spacing w:before="4"/>
              <w:rPr>
                <w:b/>
                <w:i/>
                <w:sz w:val="24"/>
              </w:rPr>
            </w:pPr>
          </w:p>
          <w:p>
            <w:pPr>
              <w:pStyle w:val="TableParagraph"/>
              <w:ind w:left="107"/>
              <w:rPr>
                <w:sz w:val="24"/>
              </w:rPr>
            </w:pPr>
            <w:r>
              <w:rPr>
                <w:color w:val="000104"/>
                <w:sz w:val="24"/>
              </w:rPr>
              <w:t>23</w:t>
            </w:r>
          </w:p>
        </w:tc>
        <w:tc>
          <w:tcPr>
            <w:tcW w:w="1004" w:type="dxa"/>
            <w:tcBorders>
              <w:top w:val="single" w:sz="4" w:space="0" w:color="000000"/>
            </w:tcBorders>
          </w:tcPr>
          <w:p>
            <w:pPr>
              <w:pStyle w:val="TableParagraph"/>
              <w:spacing w:before="4"/>
              <w:rPr>
                <w:b/>
                <w:i/>
                <w:sz w:val="24"/>
              </w:rPr>
            </w:pPr>
          </w:p>
          <w:p>
            <w:pPr>
              <w:pStyle w:val="TableParagraph"/>
              <w:ind w:left="109"/>
              <w:rPr>
                <w:sz w:val="24"/>
              </w:rPr>
            </w:pPr>
            <w:r>
              <w:rPr>
                <w:color w:val="000104"/>
                <w:sz w:val="24"/>
              </w:rPr>
              <w:t>11.2</w:t>
            </w:r>
          </w:p>
        </w:tc>
        <w:tc>
          <w:tcPr>
            <w:tcW w:w="1121" w:type="dxa"/>
            <w:tcBorders>
              <w:top w:val="single" w:sz="4" w:space="0" w:color="000000"/>
            </w:tcBorders>
          </w:tcPr>
          <w:p>
            <w:pPr>
              <w:pStyle w:val="TableParagraph"/>
              <w:spacing w:before="4"/>
              <w:rPr>
                <w:b/>
                <w:i/>
                <w:sz w:val="24"/>
              </w:rPr>
            </w:pPr>
          </w:p>
          <w:p>
            <w:pPr>
              <w:pStyle w:val="TableParagraph"/>
              <w:ind w:left="108"/>
              <w:rPr>
                <w:sz w:val="24"/>
              </w:rPr>
            </w:pPr>
            <w:r>
              <w:rPr>
                <w:color w:val="000104"/>
                <w:sz w:val="24"/>
              </w:rPr>
              <w:t>11.2</w:t>
            </w:r>
          </w:p>
        </w:tc>
        <w:tc>
          <w:tcPr>
            <w:tcW w:w="1545" w:type="dxa"/>
            <w:tcBorders>
              <w:top w:val="single" w:sz="4" w:space="0" w:color="000000"/>
            </w:tcBorders>
          </w:tcPr>
          <w:p>
            <w:pPr>
              <w:pStyle w:val="TableParagraph"/>
              <w:spacing w:before="4"/>
              <w:rPr>
                <w:b/>
                <w:i/>
                <w:sz w:val="24"/>
              </w:rPr>
            </w:pPr>
          </w:p>
          <w:p>
            <w:pPr>
              <w:pStyle w:val="TableParagraph"/>
              <w:ind w:left="226"/>
              <w:rPr>
                <w:sz w:val="24"/>
              </w:rPr>
            </w:pPr>
            <w:r>
              <w:rPr>
                <w:color w:val="000104"/>
                <w:sz w:val="24"/>
              </w:rPr>
              <w:t>11.2</w:t>
            </w:r>
          </w:p>
        </w:tc>
      </w:tr>
      <w:tr>
        <w:trPr>
          <w:trHeight w:val="436" w:hRule="atLeast"/>
        </w:trPr>
        <w:tc>
          <w:tcPr>
            <w:tcW w:w="2094" w:type="dxa"/>
          </w:tcPr>
          <w:p>
            <w:pPr>
              <w:pStyle w:val="TableParagraph"/>
              <w:rPr>
                <w:sz w:val="22"/>
              </w:rPr>
            </w:pPr>
          </w:p>
        </w:tc>
        <w:tc>
          <w:tcPr>
            <w:tcW w:w="1309" w:type="dxa"/>
          </w:tcPr>
          <w:p>
            <w:pPr>
              <w:pStyle w:val="TableParagraph"/>
              <w:spacing w:before="75"/>
              <w:ind w:left="107"/>
              <w:rPr>
                <w:sz w:val="24"/>
              </w:rPr>
            </w:pPr>
            <w:r>
              <w:rPr>
                <w:color w:val="000104"/>
                <w:sz w:val="24"/>
              </w:rPr>
              <w:t>44</w:t>
            </w:r>
          </w:p>
        </w:tc>
        <w:tc>
          <w:tcPr>
            <w:tcW w:w="1004" w:type="dxa"/>
          </w:tcPr>
          <w:p>
            <w:pPr>
              <w:pStyle w:val="TableParagraph"/>
              <w:spacing w:before="75"/>
              <w:ind w:left="109"/>
              <w:rPr>
                <w:sz w:val="24"/>
              </w:rPr>
            </w:pPr>
            <w:r>
              <w:rPr>
                <w:color w:val="000104"/>
                <w:sz w:val="24"/>
              </w:rPr>
              <w:t>21.4</w:t>
            </w:r>
          </w:p>
        </w:tc>
        <w:tc>
          <w:tcPr>
            <w:tcW w:w="1121" w:type="dxa"/>
          </w:tcPr>
          <w:p>
            <w:pPr>
              <w:pStyle w:val="TableParagraph"/>
              <w:spacing w:before="75"/>
              <w:ind w:left="108"/>
              <w:rPr>
                <w:sz w:val="24"/>
              </w:rPr>
            </w:pPr>
            <w:r>
              <w:rPr>
                <w:color w:val="000104"/>
                <w:sz w:val="24"/>
              </w:rPr>
              <w:t>21.4</w:t>
            </w:r>
          </w:p>
        </w:tc>
        <w:tc>
          <w:tcPr>
            <w:tcW w:w="1545" w:type="dxa"/>
          </w:tcPr>
          <w:p>
            <w:pPr>
              <w:pStyle w:val="TableParagraph"/>
              <w:spacing w:before="75"/>
              <w:ind w:left="226"/>
              <w:rPr>
                <w:sz w:val="24"/>
              </w:rPr>
            </w:pPr>
            <w:r>
              <w:rPr>
                <w:color w:val="000104"/>
                <w:sz w:val="24"/>
              </w:rPr>
              <w:t>32.5</w:t>
            </w:r>
          </w:p>
        </w:tc>
      </w:tr>
      <w:tr>
        <w:trPr>
          <w:trHeight w:val="756" w:hRule="atLeast"/>
        </w:trPr>
        <w:tc>
          <w:tcPr>
            <w:tcW w:w="2094" w:type="dxa"/>
          </w:tcPr>
          <w:p>
            <w:pPr>
              <w:pStyle w:val="TableParagraph"/>
              <w:tabs>
                <w:tab w:pos="897" w:val="left" w:leader="none"/>
                <w:tab w:pos="1343" w:val="left" w:leader="none"/>
              </w:tabs>
              <w:spacing w:before="75"/>
              <w:ind w:left="131"/>
              <w:rPr>
                <w:sz w:val="24"/>
              </w:rPr>
            </w:pPr>
            <w:r>
              <w:rPr>
                <w:color w:val="25495F"/>
                <w:sz w:val="24"/>
              </w:rPr>
              <w:t>GEN</w:t>
              <w:tab/>
              <w:t>Y</w:t>
              <w:tab/>
              <w:t>(1981-</w:t>
            </w:r>
          </w:p>
          <w:p>
            <w:pPr>
              <w:pStyle w:val="TableParagraph"/>
              <w:spacing w:before="43"/>
              <w:ind w:left="131"/>
              <w:rPr>
                <w:sz w:val="24"/>
              </w:rPr>
            </w:pPr>
            <w:r>
              <w:rPr>
                <w:color w:val="25495F"/>
                <w:sz w:val="24"/>
              </w:rPr>
              <w:t>1995)</w:t>
            </w:r>
          </w:p>
        </w:tc>
        <w:tc>
          <w:tcPr>
            <w:tcW w:w="1309" w:type="dxa"/>
          </w:tcPr>
          <w:p>
            <w:pPr>
              <w:pStyle w:val="TableParagraph"/>
              <w:spacing w:before="233"/>
              <w:ind w:left="107"/>
              <w:rPr>
                <w:sz w:val="24"/>
              </w:rPr>
            </w:pPr>
            <w:r>
              <w:rPr>
                <w:color w:val="000104"/>
                <w:sz w:val="24"/>
              </w:rPr>
              <w:t>58</w:t>
            </w:r>
          </w:p>
        </w:tc>
        <w:tc>
          <w:tcPr>
            <w:tcW w:w="1004" w:type="dxa"/>
          </w:tcPr>
          <w:p>
            <w:pPr>
              <w:pStyle w:val="TableParagraph"/>
              <w:spacing w:before="233"/>
              <w:ind w:left="109"/>
              <w:rPr>
                <w:sz w:val="24"/>
              </w:rPr>
            </w:pPr>
            <w:r>
              <w:rPr>
                <w:color w:val="000104"/>
                <w:sz w:val="24"/>
              </w:rPr>
              <w:t>28.2</w:t>
            </w:r>
          </w:p>
        </w:tc>
        <w:tc>
          <w:tcPr>
            <w:tcW w:w="1121" w:type="dxa"/>
          </w:tcPr>
          <w:p>
            <w:pPr>
              <w:pStyle w:val="TableParagraph"/>
              <w:spacing w:before="233"/>
              <w:ind w:left="108"/>
              <w:rPr>
                <w:sz w:val="24"/>
              </w:rPr>
            </w:pPr>
            <w:r>
              <w:rPr>
                <w:color w:val="000104"/>
                <w:sz w:val="24"/>
              </w:rPr>
              <w:t>28.2</w:t>
            </w:r>
          </w:p>
        </w:tc>
        <w:tc>
          <w:tcPr>
            <w:tcW w:w="1545" w:type="dxa"/>
          </w:tcPr>
          <w:p>
            <w:pPr>
              <w:pStyle w:val="TableParagraph"/>
              <w:spacing w:before="233"/>
              <w:ind w:left="226"/>
              <w:rPr>
                <w:sz w:val="24"/>
              </w:rPr>
            </w:pPr>
            <w:r>
              <w:rPr>
                <w:color w:val="000104"/>
                <w:sz w:val="24"/>
              </w:rPr>
              <w:t>60.7</w:t>
            </w:r>
          </w:p>
        </w:tc>
      </w:tr>
      <w:tr>
        <w:trPr>
          <w:trHeight w:val="753" w:hRule="atLeast"/>
        </w:trPr>
        <w:tc>
          <w:tcPr>
            <w:tcW w:w="2094" w:type="dxa"/>
          </w:tcPr>
          <w:p>
            <w:pPr>
              <w:pStyle w:val="TableParagraph"/>
              <w:tabs>
                <w:tab w:pos="1010" w:val="left" w:leader="none"/>
              </w:tabs>
              <w:spacing w:line="276" w:lineRule="auto" w:before="75"/>
              <w:ind w:left="131" w:right="107"/>
              <w:rPr>
                <w:sz w:val="24"/>
              </w:rPr>
            </w:pPr>
            <w:r>
              <w:rPr>
                <w:color w:val="25495F"/>
                <w:sz w:val="24"/>
              </w:rPr>
              <w:t>New</w:t>
              <w:tab/>
            </w:r>
            <w:r>
              <w:rPr>
                <w:color w:val="25495F"/>
                <w:spacing w:val="-3"/>
                <w:sz w:val="24"/>
              </w:rPr>
              <w:t>millennial </w:t>
            </w:r>
            <w:r>
              <w:rPr>
                <w:color w:val="25495F"/>
                <w:sz w:val="24"/>
              </w:rPr>
              <w:t>(1995 to</w:t>
            </w:r>
            <w:r>
              <w:rPr>
                <w:color w:val="25495F"/>
                <w:spacing w:val="-2"/>
                <w:sz w:val="24"/>
              </w:rPr>
              <w:t> </w:t>
            </w:r>
            <w:r>
              <w:rPr>
                <w:color w:val="25495F"/>
                <w:sz w:val="24"/>
              </w:rPr>
              <w:t>onwards</w:t>
            </w:r>
          </w:p>
        </w:tc>
        <w:tc>
          <w:tcPr>
            <w:tcW w:w="1309" w:type="dxa"/>
          </w:tcPr>
          <w:p>
            <w:pPr>
              <w:pStyle w:val="TableParagraph"/>
              <w:spacing w:before="233"/>
              <w:ind w:left="107"/>
              <w:rPr>
                <w:sz w:val="24"/>
              </w:rPr>
            </w:pPr>
            <w:r>
              <w:rPr>
                <w:color w:val="000104"/>
                <w:sz w:val="24"/>
              </w:rPr>
              <w:t>81</w:t>
            </w:r>
          </w:p>
        </w:tc>
        <w:tc>
          <w:tcPr>
            <w:tcW w:w="1004" w:type="dxa"/>
          </w:tcPr>
          <w:p>
            <w:pPr>
              <w:pStyle w:val="TableParagraph"/>
              <w:spacing w:before="233"/>
              <w:ind w:left="109"/>
              <w:rPr>
                <w:sz w:val="24"/>
              </w:rPr>
            </w:pPr>
            <w:r>
              <w:rPr>
                <w:color w:val="000104"/>
                <w:sz w:val="24"/>
              </w:rPr>
              <w:t>39.3</w:t>
            </w:r>
          </w:p>
        </w:tc>
        <w:tc>
          <w:tcPr>
            <w:tcW w:w="1121" w:type="dxa"/>
          </w:tcPr>
          <w:p>
            <w:pPr>
              <w:pStyle w:val="TableParagraph"/>
              <w:spacing w:before="233"/>
              <w:ind w:left="108"/>
              <w:rPr>
                <w:sz w:val="24"/>
              </w:rPr>
            </w:pPr>
            <w:r>
              <w:rPr>
                <w:color w:val="000104"/>
                <w:sz w:val="24"/>
              </w:rPr>
              <w:t>39.3</w:t>
            </w:r>
          </w:p>
        </w:tc>
        <w:tc>
          <w:tcPr>
            <w:tcW w:w="1545" w:type="dxa"/>
          </w:tcPr>
          <w:p>
            <w:pPr>
              <w:pStyle w:val="TableParagraph"/>
              <w:spacing w:before="233"/>
              <w:ind w:left="226"/>
              <w:rPr>
                <w:sz w:val="24"/>
              </w:rPr>
            </w:pPr>
            <w:r>
              <w:rPr>
                <w:color w:val="000104"/>
                <w:sz w:val="24"/>
              </w:rPr>
              <w:t>100.0</w:t>
            </w:r>
          </w:p>
        </w:tc>
      </w:tr>
      <w:tr>
        <w:trPr>
          <w:trHeight w:val="351" w:hRule="atLeast"/>
        </w:trPr>
        <w:tc>
          <w:tcPr>
            <w:tcW w:w="2094" w:type="dxa"/>
          </w:tcPr>
          <w:p>
            <w:pPr>
              <w:pStyle w:val="TableParagraph"/>
              <w:spacing w:line="256" w:lineRule="exact" w:before="75"/>
              <w:ind w:left="131"/>
              <w:rPr>
                <w:b/>
                <w:sz w:val="24"/>
              </w:rPr>
            </w:pPr>
            <w:r>
              <w:rPr>
                <w:b/>
                <w:sz w:val="24"/>
              </w:rPr>
              <w:t>Total</w:t>
            </w:r>
          </w:p>
        </w:tc>
        <w:tc>
          <w:tcPr>
            <w:tcW w:w="1309" w:type="dxa"/>
          </w:tcPr>
          <w:p>
            <w:pPr>
              <w:pStyle w:val="TableParagraph"/>
              <w:spacing w:line="256" w:lineRule="exact" w:before="75"/>
              <w:ind w:left="107"/>
              <w:rPr>
                <w:b/>
                <w:sz w:val="24"/>
              </w:rPr>
            </w:pPr>
            <w:r>
              <w:rPr>
                <w:b/>
                <w:color w:val="000104"/>
                <w:sz w:val="24"/>
              </w:rPr>
              <w:t>206</w:t>
            </w:r>
          </w:p>
        </w:tc>
        <w:tc>
          <w:tcPr>
            <w:tcW w:w="1004" w:type="dxa"/>
          </w:tcPr>
          <w:p>
            <w:pPr>
              <w:pStyle w:val="TableParagraph"/>
              <w:spacing w:line="256" w:lineRule="exact" w:before="75"/>
              <w:ind w:left="109"/>
              <w:rPr>
                <w:sz w:val="24"/>
              </w:rPr>
            </w:pPr>
            <w:r>
              <w:rPr>
                <w:color w:val="000104"/>
                <w:sz w:val="24"/>
              </w:rPr>
              <w:t>100.0</w:t>
            </w:r>
          </w:p>
        </w:tc>
        <w:tc>
          <w:tcPr>
            <w:tcW w:w="1121" w:type="dxa"/>
          </w:tcPr>
          <w:p>
            <w:pPr>
              <w:pStyle w:val="TableParagraph"/>
              <w:spacing w:line="256" w:lineRule="exact" w:before="75"/>
              <w:ind w:left="108"/>
              <w:rPr>
                <w:sz w:val="24"/>
              </w:rPr>
            </w:pPr>
            <w:r>
              <w:rPr>
                <w:color w:val="000104"/>
                <w:sz w:val="24"/>
              </w:rPr>
              <w:t>100.0</w:t>
            </w:r>
          </w:p>
        </w:tc>
        <w:tc>
          <w:tcPr>
            <w:tcW w:w="1545" w:type="dxa"/>
          </w:tcPr>
          <w:p>
            <w:pPr>
              <w:pStyle w:val="TableParagraph"/>
              <w:rPr>
                <w:sz w:val="22"/>
              </w:rPr>
            </w:pPr>
          </w:p>
        </w:tc>
      </w:tr>
    </w:tbl>
    <w:p>
      <w:pPr>
        <w:pStyle w:val="BodyText"/>
        <w:rPr>
          <w:b/>
          <w:i/>
          <w:sz w:val="20"/>
        </w:rPr>
      </w:pPr>
    </w:p>
    <w:p>
      <w:pPr>
        <w:pStyle w:val="BodyText"/>
        <w:spacing w:before="4"/>
        <w:rPr>
          <w:b/>
          <w:i/>
          <w:sz w:val="18"/>
        </w:rPr>
      </w:pPr>
      <w:r>
        <w:rPr/>
        <w:pict>
          <v:rect style="position:absolute;margin-left:48.384003pt;margin-top:12.545257pt;width:352.660017pt;height:.48pt;mso-position-horizontal-relative:page;mso-position-vertical-relative:paragraph;z-index:-15726592;mso-wrap-distance-left:0;mso-wrap-distance-right:0" filled="true" fillcolor="#000000" stroked="false">
            <v:fill type="solid"/>
            <w10:wrap type="topAndBottom"/>
          </v:rect>
        </w:pict>
      </w:r>
    </w:p>
    <w:p>
      <w:pPr>
        <w:spacing w:before="90" w:after="42"/>
        <w:ind w:left="225" w:right="202" w:firstLine="0"/>
        <w:jc w:val="center"/>
        <w:rPr>
          <w:b/>
          <w:i/>
          <w:sz w:val="24"/>
        </w:rPr>
      </w:pPr>
      <w:r>
        <w:rPr>
          <w:b/>
          <w:sz w:val="24"/>
        </w:rPr>
        <w:t>TABLE 2 </w:t>
      </w:r>
      <w:r>
        <w:rPr>
          <w:b/>
          <w:i/>
          <w:sz w:val="24"/>
        </w:rPr>
        <w:t>GENDER</w:t>
      </w:r>
    </w:p>
    <w:tbl>
      <w:tblPr>
        <w:tblW w:w="0" w:type="auto"/>
        <w:jc w:val="left"/>
        <w:tblInd w:w="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4"/>
        <w:gridCol w:w="1374"/>
        <w:gridCol w:w="1064"/>
        <w:gridCol w:w="1126"/>
        <w:gridCol w:w="1479"/>
      </w:tblGrid>
      <w:tr>
        <w:trPr>
          <w:trHeight w:val="755" w:hRule="atLeast"/>
        </w:trPr>
        <w:tc>
          <w:tcPr>
            <w:tcW w:w="1064" w:type="dxa"/>
            <w:tcBorders>
              <w:top w:val="single" w:sz="4" w:space="0" w:color="000000"/>
              <w:bottom w:val="single" w:sz="4" w:space="0" w:color="000000"/>
            </w:tcBorders>
          </w:tcPr>
          <w:p>
            <w:pPr>
              <w:pStyle w:val="TableParagraph"/>
              <w:spacing w:before="123"/>
              <w:ind w:left="116"/>
              <w:rPr>
                <w:b/>
                <w:sz w:val="24"/>
              </w:rPr>
            </w:pPr>
            <w:r>
              <w:rPr>
                <w:b/>
                <w:color w:val="000104"/>
                <w:sz w:val="24"/>
              </w:rPr>
              <w:t>Gender</w:t>
            </w:r>
          </w:p>
        </w:tc>
        <w:tc>
          <w:tcPr>
            <w:tcW w:w="1374" w:type="dxa"/>
            <w:tcBorders>
              <w:top w:val="single" w:sz="4" w:space="0" w:color="000000"/>
              <w:bottom w:val="single" w:sz="4" w:space="0" w:color="000000"/>
            </w:tcBorders>
          </w:tcPr>
          <w:p>
            <w:pPr>
              <w:pStyle w:val="TableParagraph"/>
              <w:spacing w:before="1"/>
              <w:rPr>
                <w:b/>
                <w:i/>
                <w:sz w:val="24"/>
              </w:rPr>
            </w:pPr>
          </w:p>
          <w:p>
            <w:pPr>
              <w:pStyle w:val="TableParagraph"/>
              <w:ind w:left="174"/>
              <w:rPr>
                <w:b/>
                <w:sz w:val="24"/>
              </w:rPr>
            </w:pPr>
            <w:r>
              <w:rPr>
                <w:b/>
                <w:color w:val="25495F"/>
                <w:sz w:val="24"/>
              </w:rPr>
              <w:t>Frequency</w:t>
            </w:r>
          </w:p>
        </w:tc>
        <w:tc>
          <w:tcPr>
            <w:tcW w:w="1064" w:type="dxa"/>
            <w:tcBorders>
              <w:top w:val="single" w:sz="4" w:space="0" w:color="000000"/>
              <w:bottom w:val="single" w:sz="4" w:space="0" w:color="000000"/>
            </w:tcBorders>
          </w:tcPr>
          <w:p>
            <w:pPr>
              <w:pStyle w:val="TableParagraph"/>
              <w:spacing w:before="1"/>
              <w:rPr>
                <w:b/>
                <w:i/>
                <w:sz w:val="24"/>
              </w:rPr>
            </w:pPr>
          </w:p>
          <w:p>
            <w:pPr>
              <w:pStyle w:val="TableParagraph"/>
              <w:ind w:left="110"/>
              <w:rPr>
                <w:b/>
                <w:sz w:val="24"/>
              </w:rPr>
            </w:pPr>
            <w:r>
              <w:rPr>
                <w:b/>
                <w:color w:val="25495F"/>
                <w:sz w:val="24"/>
              </w:rPr>
              <w:t>Percent</w:t>
            </w:r>
          </w:p>
        </w:tc>
        <w:tc>
          <w:tcPr>
            <w:tcW w:w="1126" w:type="dxa"/>
            <w:tcBorders>
              <w:top w:val="single" w:sz="4" w:space="0" w:color="000000"/>
              <w:bottom w:val="single" w:sz="4" w:space="0" w:color="000000"/>
            </w:tcBorders>
          </w:tcPr>
          <w:p>
            <w:pPr>
              <w:pStyle w:val="TableParagraph"/>
              <w:spacing w:line="320" w:lineRule="atLeast" w:before="75"/>
              <w:ind w:left="172" w:right="147"/>
              <w:rPr>
                <w:b/>
                <w:sz w:val="24"/>
              </w:rPr>
            </w:pPr>
            <w:r>
              <w:rPr>
                <w:b/>
                <w:color w:val="25495F"/>
                <w:sz w:val="24"/>
              </w:rPr>
              <w:t>Valid Percent</w:t>
            </w:r>
          </w:p>
        </w:tc>
        <w:tc>
          <w:tcPr>
            <w:tcW w:w="1479" w:type="dxa"/>
            <w:tcBorders>
              <w:top w:val="single" w:sz="4" w:space="0" w:color="000000"/>
              <w:bottom w:val="single" w:sz="4" w:space="0" w:color="000000"/>
            </w:tcBorders>
          </w:tcPr>
          <w:p>
            <w:pPr>
              <w:pStyle w:val="TableParagraph"/>
              <w:spacing w:line="320" w:lineRule="atLeast" w:before="75"/>
              <w:ind w:left="175" w:right="84"/>
              <w:rPr>
                <w:b/>
                <w:sz w:val="24"/>
              </w:rPr>
            </w:pPr>
            <w:r>
              <w:rPr>
                <w:b/>
                <w:color w:val="25495F"/>
                <w:sz w:val="24"/>
              </w:rPr>
              <w:t>Cumulative Percent</w:t>
            </w:r>
          </w:p>
        </w:tc>
      </w:tr>
      <w:tr>
        <w:trPr>
          <w:trHeight w:val="480" w:hRule="atLeast"/>
        </w:trPr>
        <w:tc>
          <w:tcPr>
            <w:tcW w:w="1064" w:type="dxa"/>
            <w:tcBorders>
              <w:top w:val="single" w:sz="4" w:space="0" w:color="000000"/>
            </w:tcBorders>
          </w:tcPr>
          <w:p>
            <w:pPr>
              <w:pStyle w:val="TableParagraph"/>
              <w:spacing w:before="119"/>
              <w:ind w:left="116"/>
              <w:rPr>
                <w:sz w:val="24"/>
              </w:rPr>
            </w:pPr>
            <w:r>
              <w:rPr>
                <w:color w:val="25495F"/>
                <w:sz w:val="24"/>
              </w:rPr>
              <w:t>Male</w:t>
            </w:r>
          </w:p>
        </w:tc>
        <w:tc>
          <w:tcPr>
            <w:tcW w:w="1374" w:type="dxa"/>
            <w:tcBorders>
              <w:top w:val="single" w:sz="4" w:space="0" w:color="000000"/>
            </w:tcBorders>
          </w:tcPr>
          <w:p>
            <w:pPr>
              <w:pStyle w:val="TableParagraph"/>
              <w:spacing w:before="119"/>
              <w:ind w:left="174"/>
              <w:rPr>
                <w:sz w:val="24"/>
              </w:rPr>
            </w:pPr>
            <w:r>
              <w:rPr>
                <w:color w:val="000104"/>
                <w:sz w:val="24"/>
              </w:rPr>
              <w:t>111</w:t>
            </w:r>
          </w:p>
        </w:tc>
        <w:tc>
          <w:tcPr>
            <w:tcW w:w="1064" w:type="dxa"/>
            <w:tcBorders>
              <w:top w:val="single" w:sz="4" w:space="0" w:color="000000"/>
            </w:tcBorders>
          </w:tcPr>
          <w:p>
            <w:pPr>
              <w:pStyle w:val="TableParagraph"/>
              <w:spacing w:before="119"/>
              <w:ind w:left="110"/>
              <w:rPr>
                <w:sz w:val="24"/>
              </w:rPr>
            </w:pPr>
            <w:r>
              <w:rPr>
                <w:color w:val="000104"/>
                <w:sz w:val="24"/>
              </w:rPr>
              <w:t>53.9</w:t>
            </w:r>
          </w:p>
        </w:tc>
        <w:tc>
          <w:tcPr>
            <w:tcW w:w="1126" w:type="dxa"/>
            <w:tcBorders>
              <w:top w:val="single" w:sz="4" w:space="0" w:color="000000"/>
            </w:tcBorders>
          </w:tcPr>
          <w:p>
            <w:pPr>
              <w:pStyle w:val="TableParagraph"/>
              <w:spacing w:before="119"/>
              <w:ind w:left="172"/>
              <w:rPr>
                <w:sz w:val="24"/>
              </w:rPr>
            </w:pPr>
            <w:r>
              <w:rPr>
                <w:color w:val="000104"/>
                <w:sz w:val="24"/>
              </w:rPr>
              <w:t>53.9</w:t>
            </w:r>
          </w:p>
        </w:tc>
        <w:tc>
          <w:tcPr>
            <w:tcW w:w="1479" w:type="dxa"/>
            <w:tcBorders>
              <w:top w:val="single" w:sz="4" w:space="0" w:color="000000"/>
            </w:tcBorders>
          </w:tcPr>
          <w:p>
            <w:pPr>
              <w:pStyle w:val="TableParagraph"/>
              <w:spacing w:before="119"/>
              <w:ind w:left="175"/>
              <w:rPr>
                <w:sz w:val="24"/>
              </w:rPr>
            </w:pPr>
            <w:r>
              <w:rPr>
                <w:color w:val="000104"/>
                <w:sz w:val="24"/>
              </w:rPr>
              <w:t>53.9</w:t>
            </w:r>
          </w:p>
        </w:tc>
      </w:tr>
      <w:tr>
        <w:trPr>
          <w:trHeight w:val="437" w:hRule="atLeast"/>
        </w:trPr>
        <w:tc>
          <w:tcPr>
            <w:tcW w:w="1064" w:type="dxa"/>
          </w:tcPr>
          <w:p>
            <w:pPr>
              <w:pStyle w:val="TableParagraph"/>
              <w:spacing w:before="75"/>
              <w:ind w:left="116"/>
              <w:rPr>
                <w:sz w:val="24"/>
              </w:rPr>
            </w:pPr>
            <w:r>
              <w:rPr>
                <w:color w:val="25495F"/>
                <w:sz w:val="24"/>
              </w:rPr>
              <w:t>Female</w:t>
            </w:r>
          </w:p>
        </w:tc>
        <w:tc>
          <w:tcPr>
            <w:tcW w:w="1374" w:type="dxa"/>
          </w:tcPr>
          <w:p>
            <w:pPr>
              <w:pStyle w:val="TableParagraph"/>
              <w:spacing w:before="75"/>
              <w:ind w:left="174"/>
              <w:rPr>
                <w:sz w:val="24"/>
              </w:rPr>
            </w:pPr>
            <w:r>
              <w:rPr>
                <w:color w:val="000104"/>
                <w:sz w:val="24"/>
              </w:rPr>
              <w:t>95</w:t>
            </w:r>
          </w:p>
        </w:tc>
        <w:tc>
          <w:tcPr>
            <w:tcW w:w="1064" w:type="dxa"/>
          </w:tcPr>
          <w:p>
            <w:pPr>
              <w:pStyle w:val="TableParagraph"/>
              <w:spacing w:before="75"/>
              <w:ind w:left="110"/>
              <w:rPr>
                <w:sz w:val="24"/>
              </w:rPr>
            </w:pPr>
            <w:r>
              <w:rPr>
                <w:color w:val="000104"/>
                <w:sz w:val="24"/>
              </w:rPr>
              <w:t>46.1</w:t>
            </w:r>
          </w:p>
        </w:tc>
        <w:tc>
          <w:tcPr>
            <w:tcW w:w="1126" w:type="dxa"/>
          </w:tcPr>
          <w:p>
            <w:pPr>
              <w:pStyle w:val="TableParagraph"/>
              <w:spacing w:before="75"/>
              <w:ind w:left="172"/>
              <w:rPr>
                <w:sz w:val="24"/>
              </w:rPr>
            </w:pPr>
            <w:r>
              <w:rPr>
                <w:color w:val="000104"/>
                <w:sz w:val="24"/>
              </w:rPr>
              <w:t>46.1</w:t>
            </w:r>
          </w:p>
        </w:tc>
        <w:tc>
          <w:tcPr>
            <w:tcW w:w="1479" w:type="dxa"/>
          </w:tcPr>
          <w:p>
            <w:pPr>
              <w:pStyle w:val="TableParagraph"/>
              <w:spacing w:before="75"/>
              <w:ind w:left="175"/>
              <w:rPr>
                <w:sz w:val="24"/>
              </w:rPr>
            </w:pPr>
            <w:r>
              <w:rPr>
                <w:color w:val="000104"/>
                <w:sz w:val="24"/>
              </w:rPr>
              <w:t>100.0</w:t>
            </w:r>
          </w:p>
        </w:tc>
      </w:tr>
      <w:tr>
        <w:trPr>
          <w:trHeight w:val="395" w:hRule="atLeast"/>
        </w:trPr>
        <w:tc>
          <w:tcPr>
            <w:tcW w:w="1064" w:type="dxa"/>
            <w:tcBorders>
              <w:bottom w:val="single" w:sz="4" w:space="0" w:color="000000"/>
            </w:tcBorders>
          </w:tcPr>
          <w:p>
            <w:pPr>
              <w:pStyle w:val="TableParagraph"/>
              <w:spacing w:before="75"/>
              <w:ind w:left="116"/>
              <w:rPr>
                <w:sz w:val="24"/>
              </w:rPr>
            </w:pPr>
            <w:r>
              <w:rPr>
                <w:color w:val="25495F"/>
                <w:sz w:val="24"/>
              </w:rPr>
              <w:t>Total</w:t>
            </w:r>
          </w:p>
        </w:tc>
        <w:tc>
          <w:tcPr>
            <w:tcW w:w="1374" w:type="dxa"/>
            <w:tcBorders>
              <w:bottom w:val="single" w:sz="4" w:space="0" w:color="000000"/>
            </w:tcBorders>
          </w:tcPr>
          <w:p>
            <w:pPr>
              <w:pStyle w:val="TableParagraph"/>
              <w:spacing w:before="75"/>
              <w:ind w:left="174"/>
              <w:rPr>
                <w:sz w:val="24"/>
              </w:rPr>
            </w:pPr>
            <w:r>
              <w:rPr>
                <w:color w:val="000104"/>
                <w:sz w:val="24"/>
              </w:rPr>
              <w:t>206</w:t>
            </w:r>
          </w:p>
        </w:tc>
        <w:tc>
          <w:tcPr>
            <w:tcW w:w="1064" w:type="dxa"/>
            <w:tcBorders>
              <w:bottom w:val="single" w:sz="4" w:space="0" w:color="000000"/>
            </w:tcBorders>
          </w:tcPr>
          <w:p>
            <w:pPr>
              <w:pStyle w:val="TableParagraph"/>
              <w:spacing w:before="75"/>
              <w:ind w:left="110"/>
              <w:rPr>
                <w:sz w:val="24"/>
              </w:rPr>
            </w:pPr>
            <w:r>
              <w:rPr>
                <w:color w:val="000104"/>
                <w:sz w:val="24"/>
              </w:rPr>
              <w:t>100.0</w:t>
            </w:r>
          </w:p>
        </w:tc>
        <w:tc>
          <w:tcPr>
            <w:tcW w:w="1126" w:type="dxa"/>
            <w:tcBorders>
              <w:bottom w:val="single" w:sz="4" w:space="0" w:color="000000"/>
            </w:tcBorders>
          </w:tcPr>
          <w:p>
            <w:pPr>
              <w:pStyle w:val="TableParagraph"/>
              <w:spacing w:before="75"/>
              <w:ind w:left="172"/>
              <w:rPr>
                <w:sz w:val="24"/>
              </w:rPr>
            </w:pPr>
            <w:r>
              <w:rPr>
                <w:color w:val="000104"/>
                <w:sz w:val="24"/>
              </w:rPr>
              <w:t>100.0</w:t>
            </w:r>
          </w:p>
        </w:tc>
        <w:tc>
          <w:tcPr>
            <w:tcW w:w="1479" w:type="dxa"/>
            <w:tcBorders>
              <w:bottom w:val="single" w:sz="4" w:space="0" w:color="000000"/>
            </w:tcBorders>
          </w:tcPr>
          <w:p>
            <w:pPr>
              <w:pStyle w:val="TableParagraph"/>
              <w:rPr>
                <w:sz w:val="22"/>
              </w:rPr>
            </w:pPr>
          </w:p>
        </w:tc>
      </w:tr>
    </w:tbl>
    <w:p>
      <w:pPr>
        <w:pStyle w:val="BodyText"/>
        <w:rPr>
          <w:b/>
          <w:i/>
          <w:sz w:val="26"/>
        </w:rPr>
      </w:pPr>
    </w:p>
    <w:p>
      <w:pPr>
        <w:pStyle w:val="BodyText"/>
        <w:spacing w:before="3"/>
        <w:rPr>
          <w:b/>
          <w:i/>
          <w:sz w:val="22"/>
        </w:rPr>
      </w:pPr>
    </w:p>
    <w:p>
      <w:pPr>
        <w:spacing w:before="1" w:after="42"/>
        <w:ind w:left="225" w:right="203" w:firstLine="0"/>
        <w:jc w:val="center"/>
        <w:rPr>
          <w:b/>
          <w:i/>
          <w:sz w:val="24"/>
        </w:rPr>
      </w:pPr>
      <w:r>
        <w:rPr>
          <w:b/>
          <w:sz w:val="24"/>
        </w:rPr>
        <w:t>TABLE 3 </w:t>
      </w:r>
      <w:r>
        <w:rPr>
          <w:b/>
          <w:i/>
          <w:sz w:val="24"/>
        </w:rPr>
        <w:t>EDUCATION</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9"/>
        <w:gridCol w:w="1316"/>
        <w:gridCol w:w="1021"/>
        <w:gridCol w:w="1027"/>
        <w:gridCol w:w="1437"/>
      </w:tblGrid>
      <w:tr>
        <w:trPr>
          <w:trHeight w:val="755" w:hRule="atLeast"/>
        </w:trPr>
        <w:tc>
          <w:tcPr>
            <w:tcW w:w="2269" w:type="dxa"/>
            <w:tcBorders>
              <w:top w:val="single" w:sz="4" w:space="0" w:color="000000"/>
              <w:bottom w:val="single" w:sz="4" w:space="0" w:color="000000"/>
            </w:tcBorders>
          </w:tcPr>
          <w:p>
            <w:pPr>
              <w:pStyle w:val="TableParagraph"/>
              <w:spacing w:before="123"/>
              <w:ind w:left="122"/>
              <w:rPr>
                <w:b/>
                <w:sz w:val="24"/>
              </w:rPr>
            </w:pPr>
            <w:r>
              <w:rPr>
                <w:b/>
                <w:color w:val="000104"/>
                <w:sz w:val="24"/>
              </w:rPr>
              <w:t>Education</w:t>
            </w:r>
          </w:p>
        </w:tc>
        <w:tc>
          <w:tcPr>
            <w:tcW w:w="1316" w:type="dxa"/>
            <w:tcBorders>
              <w:top w:val="single" w:sz="4" w:space="0" w:color="000000"/>
              <w:bottom w:val="single" w:sz="4" w:space="0" w:color="000000"/>
            </w:tcBorders>
          </w:tcPr>
          <w:p>
            <w:pPr>
              <w:pStyle w:val="TableParagraph"/>
              <w:spacing w:before="3"/>
              <w:rPr>
                <w:b/>
                <w:i/>
                <w:sz w:val="24"/>
              </w:rPr>
            </w:pPr>
          </w:p>
          <w:p>
            <w:pPr>
              <w:pStyle w:val="TableParagraph"/>
              <w:ind w:left="109"/>
              <w:rPr>
                <w:b/>
                <w:sz w:val="24"/>
              </w:rPr>
            </w:pPr>
            <w:r>
              <w:rPr>
                <w:b/>
                <w:color w:val="25495F"/>
                <w:sz w:val="24"/>
              </w:rPr>
              <w:t>Frequency</w:t>
            </w:r>
          </w:p>
        </w:tc>
        <w:tc>
          <w:tcPr>
            <w:tcW w:w="1021" w:type="dxa"/>
            <w:tcBorders>
              <w:top w:val="single" w:sz="4" w:space="0" w:color="000000"/>
              <w:bottom w:val="single" w:sz="4" w:space="0" w:color="000000"/>
            </w:tcBorders>
          </w:tcPr>
          <w:p>
            <w:pPr>
              <w:pStyle w:val="TableParagraph"/>
              <w:spacing w:before="3"/>
              <w:rPr>
                <w:b/>
                <w:i/>
                <w:sz w:val="24"/>
              </w:rPr>
            </w:pPr>
          </w:p>
          <w:p>
            <w:pPr>
              <w:pStyle w:val="TableParagraph"/>
              <w:ind w:left="116"/>
              <w:rPr>
                <w:b/>
                <w:sz w:val="24"/>
              </w:rPr>
            </w:pPr>
            <w:r>
              <w:rPr>
                <w:b/>
                <w:color w:val="25495F"/>
                <w:sz w:val="24"/>
              </w:rPr>
              <w:t>Percent</w:t>
            </w:r>
          </w:p>
        </w:tc>
        <w:tc>
          <w:tcPr>
            <w:tcW w:w="1027" w:type="dxa"/>
            <w:tcBorders>
              <w:top w:val="single" w:sz="4" w:space="0" w:color="000000"/>
              <w:bottom w:val="single" w:sz="4" w:space="0" w:color="000000"/>
            </w:tcBorders>
          </w:tcPr>
          <w:p>
            <w:pPr>
              <w:pStyle w:val="TableParagraph"/>
              <w:spacing w:line="320" w:lineRule="atLeast" w:before="75"/>
              <w:ind w:left="122" w:right="98"/>
              <w:rPr>
                <w:b/>
                <w:sz w:val="24"/>
              </w:rPr>
            </w:pPr>
            <w:r>
              <w:rPr>
                <w:b/>
                <w:color w:val="25495F"/>
                <w:sz w:val="24"/>
              </w:rPr>
              <w:t>Valid Percent</w:t>
            </w:r>
          </w:p>
        </w:tc>
        <w:tc>
          <w:tcPr>
            <w:tcW w:w="1437" w:type="dxa"/>
            <w:tcBorders>
              <w:top w:val="single" w:sz="4" w:space="0" w:color="000000"/>
              <w:bottom w:val="single" w:sz="4" w:space="0" w:color="000000"/>
            </w:tcBorders>
          </w:tcPr>
          <w:p>
            <w:pPr>
              <w:pStyle w:val="TableParagraph"/>
              <w:spacing w:line="320" w:lineRule="atLeast" w:before="75"/>
              <w:ind w:left="123" w:right="94"/>
              <w:rPr>
                <w:b/>
                <w:sz w:val="24"/>
              </w:rPr>
            </w:pPr>
            <w:r>
              <w:rPr>
                <w:b/>
                <w:color w:val="25495F"/>
                <w:sz w:val="24"/>
              </w:rPr>
              <w:t>Cumulative Percent</w:t>
            </w:r>
          </w:p>
        </w:tc>
      </w:tr>
      <w:tr>
        <w:trPr>
          <w:trHeight w:val="480" w:hRule="atLeast"/>
        </w:trPr>
        <w:tc>
          <w:tcPr>
            <w:tcW w:w="2269" w:type="dxa"/>
            <w:tcBorders>
              <w:top w:val="single" w:sz="4" w:space="0" w:color="000000"/>
            </w:tcBorders>
          </w:tcPr>
          <w:p>
            <w:pPr>
              <w:pStyle w:val="TableParagraph"/>
              <w:spacing w:before="119"/>
              <w:ind w:left="122"/>
              <w:rPr>
                <w:sz w:val="24"/>
              </w:rPr>
            </w:pPr>
            <w:r>
              <w:rPr>
                <w:color w:val="25495F"/>
                <w:sz w:val="24"/>
              </w:rPr>
              <w:t>MATRIC</w:t>
            </w:r>
          </w:p>
        </w:tc>
        <w:tc>
          <w:tcPr>
            <w:tcW w:w="1316" w:type="dxa"/>
            <w:tcBorders>
              <w:top w:val="single" w:sz="4" w:space="0" w:color="000000"/>
            </w:tcBorders>
          </w:tcPr>
          <w:p>
            <w:pPr>
              <w:pStyle w:val="TableParagraph"/>
              <w:spacing w:before="119"/>
              <w:ind w:left="109"/>
              <w:rPr>
                <w:sz w:val="24"/>
              </w:rPr>
            </w:pPr>
            <w:r>
              <w:rPr>
                <w:color w:val="000104"/>
                <w:sz w:val="24"/>
              </w:rPr>
              <w:t>7</w:t>
            </w:r>
          </w:p>
        </w:tc>
        <w:tc>
          <w:tcPr>
            <w:tcW w:w="1021" w:type="dxa"/>
            <w:tcBorders>
              <w:top w:val="single" w:sz="4" w:space="0" w:color="000000"/>
            </w:tcBorders>
          </w:tcPr>
          <w:p>
            <w:pPr>
              <w:pStyle w:val="TableParagraph"/>
              <w:spacing w:before="119"/>
              <w:ind w:left="116"/>
              <w:rPr>
                <w:sz w:val="24"/>
              </w:rPr>
            </w:pPr>
            <w:r>
              <w:rPr>
                <w:color w:val="000104"/>
                <w:sz w:val="24"/>
              </w:rPr>
              <w:t>3.4</w:t>
            </w:r>
          </w:p>
        </w:tc>
        <w:tc>
          <w:tcPr>
            <w:tcW w:w="1027" w:type="dxa"/>
            <w:tcBorders>
              <w:top w:val="single" w:sz="4" w:space="0" w:color="000000"/>
            </w:tcBorders>
          </w:tcPr>
          <w:p>
            <w:pPr>
              <w:pStyle w:val="TableParagraph"/>
              <w:spacing w:before="119"/>
              <w:ind w:left="122"/>
              <w:rPr>
                <w:sz w:val="24"/>
              </w:rPr>
            </w:pPr>
            <w:r>
              <w:rPr>
                <w:color w:val="000104"/>
                <w:sz w:val="24"/>
              </w:rPr>
              <w:t>3.4</w:t>
            </w:r>
          </w:p>
        </w:tc>
        <w:tc>
          <w:tcPr>
            <w:tcW w:w="1437" w:type="dxa"/>
            <w:tcBorders>
              <w:top w:val="single" w:sz="4" w:space="0" w:color="000000"/>
            </w:tcBorders>
          </w:tcPr>
          <w:p>
            <w:pPr>
              <w:pStyle w:val="TableParagraph"/>
              <w:spacing w:before="119"/>
              <w:ind w:left="123"/>
              <w:rPr>
                <w:sz w:val="24"/>
              </w:rPr>
            </w:pPr>
            <w:r>
              <w:rPr>
                <w:color w:val="000104"/>
                <w:sz w:val="24"/>
              </w:rPr>
              <w:t>3.4</w:t>
            </w:r>
          </w:p>
        </w:tc>
      </w:tr>
      <w:tr>
        <w:trPr>
          <w:trHeight w:val="438" w:hRule="atLeast"/>
        </w:trPr>
        <w:tc>
          <w:tcPr>
            <w:tcW w:w="2269" w:type="dxa"/>
          </w:tcPr>
          <w:p>
            <w:pPr>
              <w:pStyle w:val="TableParagraph"/>
              <w:spacing w:before="75"/>
              <w:ind w:left="122"/>
              <w:rPr>
                <w:sz w:val="24"/>
              </w:rPr>
            </w:pPr>
            <w:r>
              <w:rPr>
                <w:color w:val="25495F"/>
                <w:sz w:val="24"/>
              </w:rPr>
              <w:t>INTERMEDDIIATE</w:t>
            </w:r>
          </w:p>
        </w:tc>
        <w:tc>
          <w:tcPr>
            <w:tcW w:w="1316" w:type="dxa"/>
          </w:tcPr>
          <w:p>
            <w:pPr>
              <w:pStyle w:val="TableParagraph"/>
              <w:spacing w:before="75"/>
              <w:ind w:left="109"/>
              <w:rPr>
                <w:sz w:val="24"/>
              </w:rPr>
            </w:pPr>
            <w:r>
              <w:rPr>
                <w:color w:val="000104"/>
                <w:sz w:val="24"/>
              </w:rPr>
              <w:t>17</w:t>
            </w:r>
          </w:p>
        </w:tc>
        <w:tc>
          <w:tcPr>
            <w:tcW w:w="1021" w:type="dxa"/>
          </w:tcPr>
          <w:p>
            <w:pPr>
              <w:pStyle w:val="TableParagraph"/>
              <w:spacing w:before="75"/>
              <w:ind w:left="116"/>
              <w:rPr>
                <w:sz w:val="24"/>
              </w:rPr>
            </w:pPr>
            <w:r>
              <w:rPr>
                <w:color w:val="000104"/>
                <w:sz w:val="24"/>
              </w:rPr>
              <w:t>8.3</w:t>
            </w:r>
          </w:p>
        </w:tc>
        <w:tc>
          <w:tcPr>
            <w:tcW w:w="1027" w:type="dxa"/>
          </w:tcPr>
          <w:p>
            <w:pPr>
              <w:pStyle w:val="TableParagraph"/>
              <w:spacing w:before="75"/>
              <w:ind w:left="122"/>
              <w:rPr>
                <w:sz w:val="24"/>
              </w:rPr>
            </w:pPr>
            <w:r>
              <w:rPr>
                <w:color w:val="000104"/>
                <w:sz w:val="24"/>
              </w:rPr>
              <w:t>8.3</w:t>
            </w:r>
          </w:p>
        </w:tc>
        <w:tc>
          <w:tcPr>
            <w:tcW w:w="1437" w:type="dxa"/>
          </w:tcPr>
          <w:p>
            <w:pPr>
              <w:pStyle w:val="TableParagraph"/>
              <w:spacing w:before="75"/>
              <w:ind w:left="123"/>
              <w:rPr>
                <w:sz w:val="24"/>
              </w:rPr>
            </w:pPr>
            <w:r>
              <w:rPr>
                <w:color w:val="000104"/>
                <w:sz w:val="24"/>
              </w:rPr>
              <w:t>11.7</w:t>
            </w:r>
          </w:p>
        </w:tc>
      </w:tr>
      <w:tr>
        <w:trPr>
          <w:trHeight w:val="438" w:hRule="atLeast"/>
        </w:trPr>
        <w:tc>
          <w:tcPr>
            <w:tcW w:w="2269" w:type="dxa"/>
          </w:tcPr>
          <w:p>
            <w:pPr>
              <w:pStyle w:val="TableParagraph"/>
              <w:spacing w:before="76"/>
              <w:ind w:left="122"/>
              <w:rPr>
                <w:sz w:val="24"/>
              </w:rPr>
            </w:pPr>
            <w:r>
              <w:rPr>
                <w:color w:val="25495F"/>
                <w:sz w:val="24"/>
              </w:rPr>
              <w:t>GRADUATION</w:t>
            </w:r>
          </w:p>
        </w:tc>
        <w:tc>
          <w:tcPr>
            <w:tcW w:w="1316" w:type="dxa"/>
          </w:tcPr>
          <w:p>
            <w:pPr>
              <w:pStyle w:val="TableParagraph"/>
              <w:spacing w:before="76"/>
              <w:ind w:left="109"/>
              <w:rPr>
                <w:sz w:val="24"/>
              </w:rPr>
            </w:pPr>
            <w:r>
              <w:rPr>
                <w:color w:val="000104"/>
                <w:sz w:val="24"/>
              </w:rPr>
              <w:t>59</w:t>
            </w:r>
          </w:p>
        </w:tc>
        <w:tc>
          <w:tcPr>
            <w:tcW w:w="1021" w:type="dxa"/>
          </w:tcPr>
          <w:p>
            <w:pPr>
              <w:pStyle w:val="TableParagraph"/>
              <w:spacing w:before="76"/>
              <w:ind w:left="116"/>
              <w:rPr>
                <w:sz w:val="24"/>
              </w:rPr>
            </w:pPr>
            <w:r>
              <w:rPr>
                <w:color w:val="000104"/>
                <w:sz w:val="24"/>
              </w:rPr>
              <w:t>28.6</w:t>
            </w:r>
          </w:p>
        </w:tc>
        <w:tc>
          <w:tcPr>
            <w:tcW w:w="1027" w:type="dxa"/>
          </w:tcPr>
          <w:p>
            <w:pPr>
              <w:pStyle w:val="TableParagraph"/>
              <w:spacing w:before="76"/>
              <w:ind w:left="122"/>
              <w:rPr>
                <w:sz w:val="24"/>
              </w:rPr>
            </w:pPr>
            <w:r>
              <w:rPr>
                <w:color w:val="000104"/>
                <w:sz w:val="24"/>
              </w:rPr>
              <w:t>28.6</w:t>
            </w:r>
          </w:p>
        </w:tc>
        <w:tc>
          <w:tcPr>
            <w:tcW w:w="1437" w:type="dxa"/>
          </w:tcPr>
          <w:p>
            <w:pPr>
              <w:pStyle w:val="TableParagraph"/>
              <w:spacing w:before="76"/>
              <w:ind w:left="123"/>
              <w:rPr>
                <w:sz w:val="24"/>
              </w:rPr>
            </w:pPr>
            <w:r>
              <w:rPr>
                <w:color w:val="000104"/>
                <w:sz w:val="24"/>
              </w:rPr>
              <w:t>40.3</w:t>
            </w:r>
          </w:p>
        </w:tc>
      </w:tr>
      <w:tr>
        <w:trPr>
          <w:trHeight w:val="392" w:hRule="atLeast"/>
        </w:trPr>
        <w:tc>
          <w:tcPr>
            <w:tcW w:w="2269" w:type="dxa"/>
            <w:tcBorders>
              <w:bottom w:val="single" w:sz="4" w:space="0" w:color="000000"/>
            </w:tcBorders>
          </w:tcPr>
          <w:p>
            <w:pPr>
              <w:pStyle w:val="TableParagraph"/>
              <w:spacing w:before="75"/>
              <w:ind w:left="122"/>
              <w:rPr>
                <w:sz w:val="24"/>
              </w:rPr>
            </w:pPr>
            <w:r>
              <w:rPr>
                <w:color w:val="25495F"/>
                <w:sz w:val="24"/>
              </w:rPr>
              <w:t>MASTERS</w:t>
            </w:r>
          </w:p>
        </w:tc>
        <w:tc>
          <w:tcPr>
            <w:tcW w:w="1316" w:type="dxa"/>
            <w:tcBorders>
              <w:bottom w:val="single" w:sz="4" w:space="0" w:color="000000"/>
            </w:tcBorders>
          </w:tcPr>
          <w:p>
            <w:pPr>
              <w:pStyle w:val="TableParagraph"/>
              <w:spacing w:before="75"/>
              <w:ind w:left="109"/>
              <w:rPr>
                <w:sz w:val="24"/>
              </w:rPr>
            </w:pPr>
            <w:r>
              <w:rPr>
                <w:color w:val="000104"/>
                <w:sz w:val="24"/>
              </w:rPr>
              <w:t>74</w:t>
            </w:r>
          </w:p>
        </w:tc>
        <w:tc>
          <w:tcPr>
            <w:tcW w:w="1021" w:type="dxa"/>
            <w:tcBorders>
              <w:bottom w:val="single" w:sz="4" w:space="0" w:color="000000"/>
            </w:tcBorders>
          </w:tcPr>
          <w:p>
            <w:pPr>
              <w:pStyle w:val="TableParagraph"/>
              <w:spacing w:before="75"/>
              <w:ind w:left="116"/>
              <w:rPr>
                <w:sz w:val="24"/>
              </w:rPr>
            </w:pPr>
            <w:r>
              <w:rPr>
                <w:color w:val="000104"/>
                <w:sz w:val="24"/>
              </w:rPr>
              <w:t>35.9</w:t>
            </w:r>
          </w:p>
        </w:tc>
        <w:tc>
          <w:tcPr>
            <w:tcW w:w="1027" w:type="dxa"/>
            <w:tcBorders>
              <w:bottom w:val="single" w:sz="4" w:space="0" w:color="000000"/>
            </w:tcBorders>
          </w:tcPr>
          <w:p>
            <w:pPr>
              <w:pStyle w:val="TableParagraph"/>
              <w:spacing w:before="75"/>
              <w:ind w:left="122"/>
              <w:rPr>
                <w:sz w:val="24"/>
              </w:rPr>
            </w:pPr>
            <w:r>
              <w:rPr>
                <w:color w:val="000104"/>
                <w:sz w:val="24"/>
              </w:rPr>
              <w:t>35.9</w:t>
            </w:r>
          </w:p>
        </w:tc>
        <w:tc>
          <w:tcPr>
            <w:tcW w:w="1437" w:type="dxa"/>
            <w:tcBorders>
              <w:bottom w:val="single" w:sz="4" w:space="0" w:color="000000"/>
            </w:tcBorders>
          </w:tcPr>
          <w:p>
            <w:pPr>
              <w:pStyle w:val="TableParagraph"/>
              <w:spacing w:before="75"/>
              <w:ind w:left="123"/>
              <w:rPr>
                <w:sz w:val="24"/>
              </w:rPr>
            </w:pPr>
            <w:r>
              <w:rPr>
                <w:color w:val="000104"/>
                <w:sz w:val="24"/>
              </w:rPr>
              <w:t>76.2</w:t>
            </w:r>
          </w:p>
        </w:tc>
      </w:tr>
    </w:tbl>
    <w:p>
      <w:pPr>
        <w:spacing w:before="100"/>
        <w:ind w:left="225" w:right="203" w:firstLine="0"/>
        <w:jc w:val="center"/>
        <w:rPr>
          <w:rFonts w:ascii="Carlito"/>
          <w:sz w:val="22"/>
        </w:rPr>
      </w:pPr>
      <w:r>
        <w:rPr>
          <w:rFonts w:ascii="Carlito"/>
          <w:sz w:val="22"/>
        </w:rPr>
        <w:t>10</w:t>
      </w:r>
    </w:p>
    <w:p>
      <w:pPr>
        <w:spacing w:after="0"/>
        <w:jc w:val="center"/>
        <w:rPr>
          <w:rFonts w:ascii="Carlito"/>
          <w:sz w:val="22"/>
        </w:rPr>
        <w:sectPr>
          <w:pgSz w:w="9000" w:h="14040"/>
          <w:pgMar w:top="680" w:bottom="280" w:left="840" w:right="860"/>
        </w:sectPr>
      </w:pPr>
    </w:p>
    <w:p>
      <w:pPr>
        <w:tabs>
          <w:tab w:pos="4887" w:val="left" w:leader="none"/>
        </w:tabs>
        <w:spacing w:before="39"/>
        <w:ind w:left="240" w:right="0" w:firstLine="0"/>
        <w:jc w:val="left"/>
        <w:rPr>
          <w:rFonts w:ascii="Carlito"/>
          <w:b/>
          <w:sz w:val="22"/>
        </w:rPr>
      </w:pPr>
      <w:r>
        <w:rPr>
          <w:rFonts w:ascii="Carlito"/>
          <w:b/>
          <w:sz w:val="22"/>
        </w:rPr>
        <w:t>Kan</w:t>
      </w:r>
      <w:r>
        <w:rPr>
          <w:rFonts w:ascii="Carlito"/>
          <w:b/>
          <w:spacing w:val="-2"/>
          <w:sz w:val="22"/>
        </w:rPr>
        <w:t> </w:t>
      </w:r>
      <w:r>
        <w:rPr>
          <w:rFonts w:ascii="Carlito"/>
          <w:b/>
          <w:sz w:val="22"/>
        </w:rPr>
        <w:t>&amp;</w:t>
      </w:r>
      <w:r>
        <w:rPr>
          <w:rFonts w:ascii="Carlito"/>
          <w:b/>
          <w:spacing w:val="1"/>
          <w:sz w:val="22"/>
        </w:rPr>
        <w:t> </w:t>
      </w:r>
      <w:r>
        <w:rPr>
          <w:rFonts w:ascii="Carlito"/>
          <w:b/>
          <w:sz w:val="22"/>
        </w:rPr>
        <w:t>Gul</w:t>
        <w:tab/>
      </w:r>
      <w:r>
        <w:rPr>
          <w:rFonts w:ascii="Carlito"/>
          <w:b/>
          <w:i/>
          <w:sz w:val="22"/>
        </w:rPr>
        <w:t>JSS</w:t>
      </w:r>
      <w:r>
        <w:rPr>
          <w:rFonts w:ascii="Carlito"/>
          <w:b/>
          <w:sz w:val="22"/>
        </w:rPr>
        <w:t>, Vol.11, No. 1</w:t>
      </w:r>
      <w:r>
        <w:rPr>
          <w:rFonts w:ascii="Carlito"/>
          <w:b/>
          <w:spacing w:val="-8"/>
          <w:sz w:val="22"/>
        </w:rPr>
        <w:t> </w:t>
      </w:r>
      <w:r>
        <w:rPr>
          <w:rFonts w:ascii="Carlito"/>
          <w:b/>
          <w:sz w:val="22"/>
        </w:rPr>
        <w:t>(2020)</w:t>
      </w:r>
    </w:p>
    <w:p>
      <w:pPr>
        <w:pStyle w:val="BodyText"/>
        <w:rPr>
          <w:rFonts w:ascii="Carlito"/>
          <w:b/>
          <w:sz w:val="20"/>
        </w:rPr>
      </w:pPr>
    </w:p>
    <w:p>
      <w:pPr>
        <w:pStyle w:val="BodyText"/>
        <w:spacing w:before="9"/>
        <w:rPr>
          <w:rFonts w:ascii="Carlito"/>
          <w:b/>
          <w:sz w:val="12"/>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3"/>
        <w:gridCol w:w="1117"/>
        <w:gridCol w:w="1265"/>
        <w:gridCol w:w="967"/>
        <w:gridCol w:w="1619"/>
      </w:tblGrid>
      <w:tr>
        <w:trPr>
          <w:trHeight w:val="351" w:hRule="atLeast"/>
        </w:trPr>
        <w:tc>
          <w:tcPr>
            <w:tcW w:w="2103" w:type="dxa"/>
          </w:tcPr>
          <w:p>
            <w:pPr>
              <w:pStyle w:val="TableParagraph"/>
              <w:spacing w:line="266" w:lineRule="exact"/>
              <w:ind w:left="122"/>
              <w:rPr>
                <w:sz w:val="24"/>
              </w:rPr>
            </w:pPr>
            <w:r>
              <w:rPr>
                <w:color w:val="25495F"/>
                <w:sz w:val="24"/>
              </w:rPr>
              <w:t>MS OR HIGHER</w:t>
            </w:r>
          </w:p>
        </w:tc>
        <w:tc>
          <w:tcPr>
            <w:tcW w:w="1117" w:type="dxa"/>
          </w:tcPr>
          <w:p>
            <w:pPr>
              <w:pStyle w:val="TableParagraph"/>
              <w:spacing w:line="266" w:lineRule="exact"/>
              <w:ind w:left="275"/>
              <w:rPr>
                <w:sz w:val="24"/>
              </w:rPr>
            </w:pPr>
            <w:r>
              <w:rPr>
                <w:color w:val="000104"/>
                <w:sz w:val="24"/>
              </w:rPr>
              <w:t>49</w:t>
            </w:r>
          </w:p>
        </w:tc>
        <w:tc>
          <w:tcPr>
            <w:tcW w:w="1265" w:type="dxa"/>
          </w:tcPr>
          <w:p>
            <w:pPr>
              <w:pStyle w:val="TableParagraph"/>
              <w:spacing w:line="266" w:lineRule="exact"/>
              <w:ind w:left="481"/>
              <w:rPr>
                <w:sz w:val="24"/>
              </w:rPr>
            </w:pPr>
            <w:r>
              <w:rPr>
                <w:color w:val="000104"/>
                <w:sz w:val="24"/>
              </w:rPr>
              <w:t>23.8</w:t>
            </w:r>
          </w:p>
        </w:tc>
        <w:tc>
          <w:tcPr>
            <w:tcW w:w="967" w:type="dxa"/>
          </w:tcPr>
          <w:p>
            <w:pPr>
              <w:pStyle w:val="TableParagraph"/>
              <w:spacing w:line="266" w:lineRule="exact"/>
              <w:ind w:left="243"/>
              <w:rPr>
                <w:sz w:val="24"/>
              </w:rPr>
            </w:pPr>
            <w:r>
              <w:rPr>
                <w:color w:val="000104"/>
                <w:sz w:val="24"/>
              </w:rPr>
              <w:t>23.8</w:t>
            </w:r>
          </w:p>
        </w:tc>
        <w:tc>
          <w:tcPr>
            <w:tcW w:w="1619" w:type="dxa"/>
          </w:tcPr>
          <w:p>
            <w:pPr>
              <w:pStyle w:val="TableParagraph"/>
              <w:spacing w:line="266" w:lineRule="exact"/>
              <w:ind w:left="304"/>
              <w:rPr>
                <w:sz w:val="24"/>
              </w:rPr>
            </w:pPr>
            <w:r>
              <w:rPr>
                <w:color w:val="000104"/>
                <w:sz w:val="24"/>
              </w:rPr>
              <w:t>100.0</w:t>
            </w:r>
          </w:p>
        </w:tc>
      </w:tr>
      <w:tr>
        <w:trPr>
          <w:trHeight w:val="392" w:hRule="atLeast"/>
        </w:trPr>
        <w:tc>
          <w:tcPr>
            <w:tcW w:w="2103" w:type="dxa"/>
            <w:tcBorders>
              <w:bottom w:val="single" w:sz="4" w:space="0" w:color="000000"/>
            </w:tcBorders>
          </w:tcPr>
          <w:p>
            <w:pPr>
              <w:pStyle w:val="TableParagraph"/>
              <w:spacing w:before="75"/>
              <w:ind w:left="122"/>
              <w:rPr>
                <w:sz w:val="24"/>
              </w:rPr>
            </w:pPr>
            <w:r>
              <w:rPr>
                <w:color w:val="25495F"/>
                <w:sz w:val="24"/>
              </w:rPr>
              <w:t>Total</w:t>
            </w:r>
          </w:p>
        </w:tc>
        <w:tc>
          <w:tcPr>
            <w:tcW w:w="1117" w:type="dxa"/>
            <w:tcBorders>
              <w:bottom w:val="single" w:sz="4" w:space="0" w:color="000000"/>
            </w:tcBorders>
          </w:tcPr>
          <w:p>
            <w:pPr>
              <w:pStyle w:val="TableParagraph"/>
              <w:spacing w:before="75"/>
              <w:ind w:left="275"/>
              <w:rPr>
                <w:sz w:val="24"/>
              </w:rPr>
            </w:pPr>
            <w:r>
              <w:rPr>
                <w:color w:val="000104"/>
                <w:sz w:val="24"/>
              </w:rPr>
              <w:t>206</w:t>
            </w:r>
          </w:p>
        </w:tc>
        <w:tc>
          <w:tcPr>
            <w:tcW w:w="1265" w:type="dxa"/>
            <w:tcBorders>
              <w:bottom w:val="single" w:sz="4" w:space="0" w:color="000000"/>
            </w:tcBorders>
          </w:tcPr>
          <w:p>
            <w:pPr>
              <w:pStyle w:val="TableParagraph"/>
              <w:spacing w:before="75"/>
              <w:ind w:left="481"/>
              <w:rPr>
                <w:sz w:val="24"/>
              </w:rPr>
            </w:pPr>
            <w:r>
              <w:rPr>
                <w:color w:val="000104"/>
                <w:sz w:val="24"/>
              </w:rPr>
              <w:t>100.0</w:t>
            </w:r>
          </w:p>
        </w:tc>
        <w:tc>
          <w:tcPr>
            <w:tcW w:w="967" w:type="dxa"/>
            <w:tcBorders>
              <w:bottom w:val="single" w:sz="4" w:space="0" w:color="000000"/>
            </w:tcBorders>
          </w:tcPr>
          <w:p>
            <w:pPr>
              <w:pStyle w:val="TableParagraph"/>
              <w:spacing w:before="75"/>
              <w:ind w:left="243"/>
              <w:rPr>
                <w:sz w:val="24"/>
              </w:rPr>
            </w:pPr>
            <w:r>
              <w:rPr>
                <w:color w:val="000104"/>
                <w:sz w:val="24"/>
              </w:rPr>
              <w:t>100.0</w:t>
            </w:r>
          </w:p>
        </w:tc>
        <w:tc>
          <w:tcPr>
            <w:tcW w:w="1619" w:type="dxa"/>
            <w:tcBorders>
              <w:bottom w:val="single" w:sz="4" w:space="0" w:color="000000"/>
            </w:tcBorders>
          </w:tcPr>
          <w:p>
            <w:pPr>
              <w:pStyle w:val="TableParagraph"/>
              <w:rPr>
                <w:sz w:val="22"/>
              </w:rPr>
            </w:pPr>
          </w:p>
        </w:tc>
      </w:tr>
    </w:tbl>
    <w:p>
      <w:pPr>
        <w:pStyle w:val="BodyText"/>
        <w:rPr>
          <w:rFonts w:ascii="Carlito"/>
          <w:b/>
          <w:sz w:val="20"/>
        </w:rPr>
      </w:pPr>
    </w:p>
    <w:p>
      <w:pPr>
        <w:pStyle w:val="BodyText"/>
        <w:spacing w:before="4"/>
        <w:rPr>
          <w:rFonts w:ascii="Carlito"/>
          <w:b/>
          <w:sz w:val="18"/>
        </w:rPr>
      </w:pPr>
    </w:p>
    <w:p>
      <w:pPr>
        <w:pStyle w:val="Heading2"/>
        <w:numPr>
          <w:ilvl w:val="1"/>
          <w:numId w:val="4"/>
        </w:numPr>
        <w:tabs>
          <w:tab w:pos="666" w:val="left" w:leader="none"/>
        </w:tabs>
        <w:spacing w:line="276" w:lineRule="auto" w:before="90" w:after="0"/>
        <w:ind w:left="240" w:right="212" w:firstLine="0"/>
        <w:jc w:val="left"/>
      </w:pPr>
      <w:r>
        <w:rPr/>
        <w:t>Partial Least Square - structural equation modeling (PLS- SEM)</w:t>
      </w:r>
    </w:p>
    <w:p>
      <w:pPr>
        <w:pStyle w:val="ListParagraph"/>
        <w:numPr>
          <w:ilvl w:val="2"/>
          <w:numId w:val="4"/>
        </w:numPr>
        <w:tabs>
          <w:tab w:pos="781" w:val="left" w:leader="none"/>
        </w:tabs>
        <w:spacing w:line="240" w:lineRule="auto" w:before="119" w:after="0"/>
        <w:ind w:left="780" w:right="0" w:hanging="541"/>
        <w:jc w:val="left"/>
        <w:rPr>
          <w:b/>
          <w:sz w:val="24"/>
        </w:rPr>
      </w:pPr>
      <w:r>
        <w:rPr>
          <w:b/>
          <w:sz w:val="24"/>
        </w:rPr>
        <w:t>Estimation of proposed</w:t>
      </w:r>
      <w:r>
        <w:rPr>
          <w:b/>
          <w:spacing w:val="-1"/>
          <w:sz w:val="24"/>
        </w:rPr>
        <w:t> </w:t>
      </w:r>
      <w:r>
        <w:rPr>
          <w:b/>
          <w:sz w:val="24"/>
        </w:rPr>
        <w:t>hypotheses</w:t>
      </w:r>
    </w:p>
    <w:p>
      <w:pPr>
        <w:pStyle w:val="BodyText"/>
        <w:spacing w:line="276" w:lineRule="auto" w:before="161"/>
        <w:ind w:left="240" w:right="216"/>
        <w:jc w:val="both"/>
      </w:pPr>
      <w:r>
        <w:rPr/>
        <w:drawing>
          <wp:anchor distT="0" distB="0" distL="0" distR="0" allowOverlap="1" layoutInCell="1" locked="0" behindDoc="0" simplePos="0" relativeHeight="5">
            <wp:simplePos x="0" y="0"/>
            <wp:positionH relativeFrom="page">
              <wp:posOffset>723900</wp:posOffset>
            </wp:positionH>
            <wp:positionV relativeFrom="paragraph">
              <wp:posOffset>3000414</wp:posOffset>
            </wp:positionV>
            <wp:extent cx="4283702" cy="1867281"/>
            <wp:effectExtent l="0" t="0" r="0" b="0"/>
            <wp:wrapTopAndBottom/>
            <wp:docPr id="1" name="image1.jpeg" descr="C:\Users\USER\Desktop\print\pr\IMG-20191014-WA0000 (1).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283702" cy="1867281"/>
                    </a:xfrm>
                    <a:prstGeom prst="rect">
                      <a:avLst/>
                    </a:prstGeom>
                  </pic:spPr>
                </pic:pic>
              </a:graphicData>
            </a:graphic>
          </wp:anchor>
        </w:drawing>
      </w:r>
      <w:r>
        <w:rPr/>
        <w:t>Second analysis was run on SMART PLS and PLS-SEM techniques used for path analysis. SMART PLStests were used to see the hypothesized relation between indicators and variables. PLS could help for assessing structural model and predictive reliability (Henseler, Hubona, &amp; Ray, 2016). PLS can be used for two sets of linear equations as follows, it indicates the relationships between constructs and indicators. Further it measures structural model (inner model) and outer model. Estimation of path model in PLS has four step processes. First PLS algorithm that describes the composite score of the scale. Second one establishes the factors of model constructs. The third step is related to parameter estimation. And it test the interferences followed by bootstrapping (Henseler et al., 2016). In this study at first stage PLS algorithm was run on the data sample of 206. The values have shown on the diagram</w:t>
      </w:r>
      <w:r>
        <w:rPr>
          <w:spacing w:val="-2"/>
        </w:rPr>
        <w:t> </w:t>
      </w:r>
      <w:r>
        <w:rPr/>
        <w:t>below:</w:t>
      </w:r>
    </w:p>
    <w:p>
      <w:pPr>
        <w:pStyle w:val="BodyText"/>
        <w:rPr>
          <w:sz w:val="26"/>
        </w:rPr>
      </w:pPr>
    </w:p>
    <w:p>
      <w:pPr>
        <w:pStyle w:val="BodyText"/>
        <w:spacing w:before="9"/>
        <w:rPr>
          <w:sz w:val="23"/>
        </w:rPr>
      </w:pPr>
    </w:p>
    <w:p>
      <w:pPr>
        <w:pStyle w:val="BodyText"/>
        <w:spacing w:line="276" w:lineRule="auto"/>
        <w:ind w:left="240" w:right="221"/>
        <w:jc w:val="both"/>
      </w:pPr>
      <w:r>
        <w:rPr/>
        <w:t>The indirect effect of independent variable lack of generational stereotypes (LGS) on the dependent variable workplace</w:t>
      </w:r>
    </w:p>
    <w:p>
      <w:pPr>
        <w:spacing w:before="152"/>
        <w:ind w:left="225" w:right="203" w:firstLine="0"/>
        <w:jc w:val="center"/>
        <w:rPr>
          <w:rFonts w:ascii="Carlito"/>
          <w:sz w:val="22"/>
        </w:rPr>
      </w:pPr>
      <w:r>
        <w:rPr>
          <w:rFonts w:ascii="Carlito"/>
          <w:sz w:val="22"/>
        </w:rPr>
        <w:t>11</w:t>
      </w:r>
    </w:p>
    <w:p>
      <w:pPr>
        <w:spacing w:after="0"/>
        <w:jc w:val="center"/>
        <w:rPr>
          <w:rFonts w:ascii="Carlito"/>
          <w:sz w:val="22"/>
        </w:rPr>
        <w:sectPr>
          <w:pgSz w:w="9000" w:h="14040"/>
          <w:pgMar w:top="680" w:bottom="280" w:left="840" w:right="860"/>
        </w:sectPr>
      </w:pPr>
    </w:p>
    <w:p>
      <w:pPr>
        <w:tabs>
          <w:tab w:pos="4863" w:val="left" w:leader="none"/>
        </w:tabs>
        <w:spacing w:before="39"/>
        <w:ind w:left="240" w:right="0" w:firstLine="0"/>
        <w:jc w:val="left"/>
        <w:rPr>
          <w:rFonts w:ascii="Carlito"/>
          <w:b/>
          <w:sz w:val="22"/>
        </w:rPr>
      </w:pPr>
      <w:r>
        <w:rPr>
          <w:rFonts w:ascii="Carlito"/>
          <w:b/>
          <w:sz w:val="22"/>
        </w:rPr>
        <w:t>Lack of</w:t>
      </w:r>
      <w:r>
        <w:rPr>
          <w:rFonts w:ascii="Carlito"/>
          <w:b/>
          <w:spacing w:val="-5"/>
          <w:sz w:val="22"/>
        </w:rPr>
        <w:t> </w:t>
      </w:r>
      <w:r>
        <w:rPr>
          <w:rFonts w:ascii="Carlito"/>
          <w:b/>
          <w:sz w:val="22"/>
        </w:rPr>
        <w:t>Generational</w:t>
      </w:r>
      <w:r>
        <w:rPr>
          <w:rFonts w:ascii="Carlito"/>
          <w:b/>
          <w:spacing w:val="-4"/>
          <w:sz w:val="22"/>
        </w:rPr>
        <w:t> </w:t>
      </w:r>
      <w:r>
        <w:rPr>
          <w:rFonts w:ascii="Carlito"/>
          <w:b/>
          <w:sz w:val="22"/>
        </w:rPr>
        <w:t>Stereotypes</w:t>
        <w:tab/>
      </w:r>
      <w:r>
        <w:rPr>
          <w:rFonts w:ascii="Carlito"/>
          <w:b/>
          <w:i/>
          <w:sz w:val="22"/>
        </w:rPr>
        <w:t>JSS</w:t>
      </w:r>
      <w:r>
        <w:rPr>
          <w:rFonts w:ascii="Carlito"/>
          <w:b/>
          <w:sz w:val="22"/>
        </w:rPr>
        <w:t>, Vol.11, No. 1</w:t>
      </w:r>
      <w:r>
        <w:rPr>
          <w:rFonts w:ascii="Carlito"/>
          <w:b/>
          <w:spacing w:val="-7"/>
          <w:sz w:val="22"/>
        </w:rPr>
        <w:t> </w:t>
      </w:r>
      <w:r>
        <w:rPr>
          <w:rFonts w:ascii="Carlito"/>
          <w:b/>
          <w:sz w:val="22"/>
        </w:rPr>
        <w:t>(2020)</w:t>
      </w:r>
    </w:p>
    <w:p>
      <w:pPr>
        <w:pStyle w:val="BodyText"/>
        <w:spacing w:before="8"/>
        <w:rPr>
          <w:rFonts w:ascii="Carlito"/>
          <w:b/>
          <w:sz w:val="14"/>
        </w:rPr>
      </w:pPr>
    </w:p>
    <w:p>
      <w:pPr>
        <w:pStyle w:val="BodyText"/>
        <w:spacing w:line="276" w:lineRule="auto" w:before="90"/>
        <w:ind w:left="240" w:right="220"/>
        <w:jc w:val="both"/>
      </w:pPr>
      <w:r>
        <w:rPr/>
        <w:t>intergenerational retention (WIR) by the mediating role of organizational commitment(OC) can be seen as: LGS-WIR (0.620), it has positive impact. Further the OC positively mediate the relationship of LGS and WIR (0.139+0.193=0.332.The outer loadings of the model also relies between 0 to1 that are discussed in table 1.</w:t>
      </w:r>
    </w:p>
    <w:p>
      <w:pPr>
        <w:spacing w:before="120"/>
        <w:ind w:left="2161" w:right="0" w:firstLine="0"/>
        <w:jc w:val="both"/>
        <w:rPr>
          <w:b/>
          <w:i/>
          <w:sz w:val="24"/>
        </w:rPr>
      </w:pPr>
      <w:r>
        <w:rPr>
          <w:b/>
          <w:sz w:val="24"/>
        </w:rPr>
        <w:t>TABLE 4 </w:t>
      </w:r>
      <w:r>
        <w:rPr>
          <w:b/>
          <w:i/>
          <w:sz w:val="24"/>
        </w:rPr>
        <w:t>Total indirect effect</w:t>
      </w:r>
    </w:p>
    <w:p>
      <w:pPr>
        <w:spacing w:line="276" w:lineRule="auto" w:before="161"/>
        <w:ind w:left="240" w:right="219" w:firstLine="0"/>
        <w:jc w:val="both"/>
        <w:rPr>
          <w:i/>
          <w:sz w:val="24"/>
        </w:rPr>
      </w:pPr>
      <w:r>
        <w:rPr>
          <w:i/>
          <w:sz w:val="24"/>
        </w:rPr>
        <w:t>Note. LGS=Lack of generational stereotypes; OC=Organizational </w:t>
      </w:r>
      <w:r>
        <w:rPr>
          <w:i/>
          <w:sz w:val="24"/>
        </w:rPr>
        <w:t>commitment; WIR=Workplace intergenerational retention.</w:t>
      </w:r>
    </w:p>
    <w:p>
      <w:pPr>
        <w:pStyle w:val="BodyText"/>
        <w:spacing w:line="276" w:lineRule="auto" w:before="122"/>
        <w:ind w:left="240" w:right="215"/>
        <w:jc w:val="both"/>
      </w:pPr>
      <w:r>
        <w:rPr/>
        <w:t>Path coefficients are always standardized with given weights from -1 to +1. Weight that is closer to 1 is considering stronger path and  which is close to -1 is weaker path. The following table of path coefficients of containing variables Lack of intergenerational stereotypes (LGS), organizational commitment (OC), and workplace intergenerational retention are 0.139, 0.620 and 0.193 which all represent positive relation among each</w:t>
      </w:r>
      <w:r>
        <w:rPr>
          <w:spacing w:val="-1"/>
        </w:rPr>
        <w:t> </w:t>
      </w:r>
      <w:r>
        <w:rPr/>
        <w:t>other.</w:t>
      </w:r>
    </w:p>
    <w:p>
      <w:pPr>
        <w:pStyle w:val="Heading2"/>
        <w:spacing w:before="118"/>
        <w:ind w:right="207"/>
        <w:jc w:val="center"/>
      </w:pPr>
      <w:r>
        <w:rPr/>
        <w:t>TABLE 5 Outer loadings</w:t>
      </w:r>
    </w:p>
    <w:p>
      <w:pPr>
        <w:pStyle w:val="BodyText"/>
        <w:rPr>
          <w:b/>
          <w:sz w:val="12"/>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3"/>
        <w:gridCol w:w="1702"/>
        <w:gridCol w:w="1701"/>
        <w:gridCol w:w="2367"/>
      </w:tblGrid>
      <w:tr>
        <w:trPr>
          <w:trHeight w:val="420" w:hRule="atLeast"/>
        </w:trPr>
        <w:tc>
          <w:tcPr>
            <w:tcW w:w="1303" w:type="dxa"/>
            <w:tcBorders>
              <w:top w:val="single" w:sz="4" w:space="0" w:color="000000"/>
            </w:tcBorders>
          </w:tcPr>
          <w:p>
            <w:pPr>
              <w:pStyle w:val="TableParagraph"/>
              <w:spacing w:before="119"/>
              <w:ind w:left="122"/>
              <w:rPr>
                <w:sz w:val="24"/>
              </w:rPr>
            </w:pPr>
            <w:r>
              <w:rPr>
                <w:sz w:val="24"/>
              </w:rPr>
              <w:t>Items</w:t>
            </w:r>
          </w:p>
        </w:tc>
        <w:tc>
          <w:tcPr>
            <w:tcW w:w="1702" w:type="dxa"/>
            <w:tcBorders>
              <w:top w:val="single" w:sz="4" w:space="0" w:color="000000"/>
            </w:tcBorders>
          </w:tcPr>
          <w:p>
            <w:pPr>
              <w:pStyle w:val="TableParagraph"/>
              <w:rPr>
                <w:sz w:val="22"/>
              </w:rPr>
            </w:pPr>
          </w:p>
        </w:tc>
        <w:tc>
          <w:tcPr>
            <w:tcW w:w="1701" w:type="dxa"/>
            <w:tcBorders>
              <w:top w:val="single" w:sz="4" w:space="0" w:color="000000"/>
            </w:tcBorders>
          </w:tcPr>
          <w:p>
            <w:pPr>
              <w:pStyle w:val="TableParagraph"/>
              <w:rPr>
                <w:sz w:val="22"/>
              </w:rPr>
            </w:pPr>
          </w:p>
        </w:tc>
        <w:tc>
          <w:tcPr>
            <w:tcW w:w="2367" w:type="dxa"/>
            <w:tcBorders>
              <w:top w:val="single" w:sz="4" w:space="0" w:color="000000"/>
            </w:tcBorders>
          </w:tcPr>
          <w:p>
            <w:pPr>
              <w:pStyle w:val="TableParagraph"/>
              <w:rPr>
                <w:sz w:val="22"/>
              </w:rPr>
            </w:pPr>
          </w:p>
        </w:tc>
      </w:tr>
      <w:tr>
        <w:trPr>
          <w:trHeight w:val="332" w:hRule="atLeast"/>
        </w:trPr>
        <w:tc>
          <w:tcPr>
            <w:tcW w:w="1303" w:type="dxa"/>
            <w:tcBorders>
              <w:bottom w:val="single" w:sz="4" w:space="0" w:color="000000"/>
            </w:tcBorders>
          </w:tcPr>
          <w:p>
            <w:pPr>
              <w:pStyle w:val="TableParagraph"/>
              <w:rPr>
                <w:sz w:val="22"/>
              </w:rPr>
            </w:pPr>
          </w:p>
        </w:tc>
        <w:tc>
          <w:tcPr>
            <w:tcW w:w="1702" w:type="dxa"/>
            <w:tcBorders>
              <w:bottom w:val="single" w:sz="4" w:space="0" w:color="000000"/>
            </w:tcBorders>
          </w:tcPr>
          <w:p>
            <w:pPr>
              <w:pStyle w:val="TableParagraph"/>
              <w:spacing w:before="15"/>
              <w:ind w:left="491" w:right="546"/>
              <w:jc w:val="center"/>
              <w:rPr>
                <w:sz w:val="24"/>
              </w:rPr>
            </w:pPr>
            <w:r>
              <w:rPr>
                <w:sz w:val="24"/>
              </w:rPr>
              <w:t>LGS</w:t>
            </w:r>
          </w:p>
        </w:tc>
        <w:tc>
          <w:tcPr>
            <w:tcW w:w="1701" w:type="dxa"/>
            <w:tcBorders>
              <w:bottom w:val="single" w:sz="4" w:space="0" w:color="000000"/>
            </w:tcBorders>
          </w:tcPr>
          <w:p>
            <w:pPr>
              <w:pStyle w:val="TableParagraph"/>
              <w:spacing w:before="15"/>
              <w:ind w:left="653"/>
              <w:rPr>
                <w:sz w:val="24"/>
              </w:rPr>
            </w:pPr>
            <w:r>
              <w:rPr>
                <w:sz w:val="24"/>
              </w:rPr>
              <w:t>OC</w:t>
            </w:r>
          </w:p>
        </w:tc>
        <w:tc>
          <w:tcPr>
            <w:tcW w:w="2367" w:type="dxa"/>
            <w:tcBorders>
              <w:bottom w:val="single" w:sz="4" w:space="0" w:color="000000"/>
            </w:tcBorders>
          </w:tcPr>
          <w:p>
            <w:pPr>
              <w:pStyle w:val="TableParagraph"/>
              <w:spacing w:before="15"/>
              <w:ind w:left="714"/>
              <w:rPr>
                <w:sz w:val="24"/>
              </w:rPr>
            </w:pPr>
            <w:r>
              <w:rPr>
                <w:sz w:val="24"/>
              </w:rPr>
              <w:t>WIR</w:t>
            </w:r>
          </w:p>
        </w:tc>
      </w:tr>
      <w:tr>
        <w:trPr>
          <w:trHeight w:val="482" w:hRule="atLeast"/>
        </w:trPr>
        <w:tc>
          <w:tcPr>
            <w:tcW w:w="1303" w:type="dxa"/>
            <w:tcBorders>
              <w:top w:val="single" w:sz="4" w:space="0" w:color="000000"/>
            </w:tcBorders>
          </w:tcPr>
          <w:p>
            <w:pPr>
              <w:pStyle w:val="TableParagraph"/>
              <w:spacing w:before="121"/>
              <w:ind w:left="122"/>
              <w:rPr>
                <w:sz w:val="24"/>
              </w:rPr>
            </w:pPr>
            <w:r>
              <w:rPr>
                <w:sz w:val="24"/>
              </w:rPr>
              <w:t>LGS1</w:t>
            </w:r>
          </w:p>
        </w:tc>
        <w:tc>
          <w:tcPr>
            <w:tcW w:w="1702" w:type="dxa"/>
            <w:tcBorders>
              <w:top w:val="single" w:sz="4" w:space="0" w:color="000000"/>
            </w:tcBorders>
          </w:tcPr>
          <w:p>
            <w:pPr>
              <w:pStyle w:val="TableParagraph"/>
              <w:spacing w:before="121"/>
              <w:ind w:left="575" w:right="546"/>
              <w:jc w:val="center"/>
              <w:rPr>
                <w:sz w:val="24"/>
              </w:rPr>
            </w:pPr>
            <w:r>
              <w:rPr>
                <w:color w:val="008000"/>
                <w:sz w:val="24"/>
              </w:rPr>
              <w:t>0.734</w:t>
            </w:r>
          </w:p>
        </w:tc>
        <w:tc>
          <w:tcPr>
            <w:tcW w:w="1701" w:type="dxa"/>
            <w:tcBorders>
              <w:top w:val="single" w:sz="4" w:space="0" w:color="000000"/>
            </w:tcBorders>
          </w:tcPr>
          <w:p>
            <w:pPr>
              <w:pStyle w:val="TableParagraph"/>
              <w:rPr>
                <w:sz w:val="22"/>
              </w:rPr>
            </w:pPr>
          </w:p>
        </w:tc>
        <w:tc>
          <w:tcPr>
            <w:tcW w:w="2367" w:type="dxa"/>
            <w:tcBorders>
              <w:top w:val="single" w:sz="4" w:space="0" w:color="000000"/>
            </w:tcBorders>
          </w:tcPr>
          <w:p>
            <w:pPr>
              <w:pStyle w:val="TableParagraph"/>
              <w:rPr>
                <w:sz w:val="22"/>
              </w:rPr>
            </w:pPr>
          </w:p>
        </w:tc>
      </w:tr>
      <w:tr>
        <w:trPr>
          <w:trHeight w:val="436" w:hRule="atLeast"/>
        </w:trPr>
        <w:tc>
          <w:tcPr>
            <w:tcW w:w="1303" w:type="dxa"/>
          </w:tcPr>
          <w:p>
            <w:pPr>
              <w:pStyle w:val="TableParagraph"/>
              <w:spacing w:before="75"/>
              <w:ind w:left="122"/>
              <w:rPr>
                <w:sz w:val="24"/>
              </w:rPr>
            </w:pPr>
            <w:r>
              <w:rPr>
                <w:sz w:val="24"/>
              </w:rPr>
              <w:t>LGS2</w:t>
            </w:r>
          </w:p>
        </w:tc>
        <w:tc>
          <w:tcPr>
            <w:tcW w:w="1702" w:type="dxa"/>
          </w:tcPr>
          <w:p>
            <w:pPr>
              <w:pStyle w:val="TableParagraph"/>
              <w:spacing w:before="75"/>
              <w:ind w:left="575" w:right="546"/>
              <w:jc w:val="center"/>
              <w:rPr>
                <w:sz w:val="24"/>
              </w:rPr>
            </w:pPr>
            <w:r>
              <w:rPr>
                <w:color w:val="008000"/>
                <w:sz w:val="24"/>
              </w:rPr>
              <w:t>0.809</w:t>
            </w:r>
          </w:p>
        </w:tc>
        <w:tc>
          <w:tcPr>
            <w:tcW w:w="1701" w:type="dxa"/>
          </w:tcPr>
          <w:p>
            <w:pPr>
              <w:pStyle w:val="TableParagraph"/>
              <w:rPr>
                <w:sz w:val="22"/>
              </w:rPr>
            </w:pPr>
          </w:p>
        </w:tc>
        <w:tc>
          <w:tcPr>
            <w:tcW w:w="2367" w:type="dxa"/>
          </w:tcPr>
          <w:p>
            <w:pPr>
              <w:pStyle w:val="TableParagraph"/>
              <w:rPr>
                <w:sz w:val="22"/>
              </w:rPr>
            </w:pPr>
          </w:p>
        </w:tc>
      </w:tr>
      <w:tr>
        <w:trPr>
          <w:trHeight w:val="437" w:hRule="atLeast"/>
        </w:trPr>
        <w:tc>
          <w:tcPr>
            <w:tcW w:w="1303" w:type="dxa"/>
          </w:tcPr>
          <w:p>
            <w:pPr>
              <w:pStyle w:val="TableParagraph"/>
              <w:spacing w:before="75"/>
              <w:ind w:left="122"/>
              <w:rPr>
                <w:sz w:val="24"/>
              </w:rPr>
            </w:pPr>
            <w:r>
              <w:rPr>
                <w:sz w:val="24"/>
              </w:rPr>
              <w:t>LGS3</w:t>
            </w:r>
          </w:p>
        </w:tc>
        <w:tc>
          <w:tcPr>
            <w:tcW w:w="1702" w:type="dxa"/>
          </w:tcPr>
          <w:p>
            <w:pPr>
              <w:pStyle w:val="TableParagraph"/>
              <w:spacing w:before="75"/>
              <w:ind w:left="575" w:right="546"/>
              <w:jc w:val="center"/>
              <w:rPr>
                <w:sz w:val="24"/>
              </w:rPr>
            </w:pPr>
            <w:r>
              <w:rPr>
                <w:color w:val="800000"/>
                <w:sz w:val="24"/>
              </w:rPr>
              <w:t>0.649</w:t>
            </w:r>
          </w:p>
        </w:tc>
        <w:tc>
          <w:tcPr>
            <w:tcW w:w="1701" w:type="dxa"/>
          </w:tcPr>
          <w:p>
            <w:pPr>
              <w:pStyle w:val="TableParagraph"/>
              <w:rPr>
                <w:sz w:val="22"/>
              </w:rPr>
            </w:pPr>
          </w:p>
        </w:tc>
        <w:tc>
          <w:tcPr>
            <w:tcW w:w="2367" w:type="dxa"/>
          </w:tcPr>
          <w:p>
            <w:pPr>
              <w:pStyle w:val="TableParagraph"/>
              <w:rPr>
                <w:sz w:val="22"/>
              </w:rPr>
            </w:pPr>
          </w:p>
        </w:tc>
      </w:tr>
      <w:tr>
        <w:trPr>
          <w:trHeight w:val="438" w:hRule="atLeast"/>
        </w:trPr>
        <w:tc>
          <w:tcPr>
            <w:tcW w:w="1303" w:type="dxa"/>
          </w:tcPr>
          <w:p>
            <w:pPr>
              <w:pStyle w:val="TableParagraph"/>
              <w:spacing w:before="75"/>
              <w:ind w:left="122"/>
              <w:rPr>
                <w:sz w:val="24"/>
              </w:rPr>
            </w:pPr>
            <w:r>
              <w:rPr>
                <w:sz w:val="24"/>
              </w:rPr>
              <w:t>LGS4</w:t>
            </w:r>
          </w:p>
        </w:tc>
        <w:tc>
          <w:tcPr>
            <w:tcW w:w="1702" w:type="dxa"/>
          </w:tcPr>
          <w:p>
            <w:pPr>
              <w:pStyle w:val="TableParagraph"/>
              <w:spacing w:before="75"/>
              <w:ind w:left="575" w:right="546"/>
              <w:jc w:val="center"/>
              <w:rPr>
                <w:sz w:val="24"/>
              </w:rPr>
            </w:pPr>
            <w:r>
              <w:rPr>
                <w:color w:val="008000"/>
                <w:sz w:val="24"/>
              </w:rPr>
              <w:t>0.751</w:t>
            </w:r>
          </w:p>
        </w:tc>
        <w:tc>
          <w:tcPr>
            <w:tcW w:w="1701" w:type="dxa"/>
          </w:tcPr>
          <w:p>
            <w:pPr>
              <w:pStyle w:val="TableParagraph"/>
              <w:rPr>
                <w:sz w:val="22"/>
              </w:rPr>
            </w:pPr>
          </w:p>
        </w:tc>
        <w:tc>
          <w:tcPr>
            <w:tcW w:w="2367" w:type="dxa"/>
          </w:tcPr>
          <w:p>
            <w:pPr>
              <w:pStyle w:val="TableParagraph"/>
              <w:rPr>
                <w:sz w:val="22"/>
              </w:rPr>
            </w:pPr>
          </w:p>
        </w:tc>
      </w:tr>
      <w:tr>
        <w:trPr>
          <w:trHeight w:val="437" w:hRule="atLeast"/>
        </w:trPr>
        <w:tc>
          <w:tcPr>
            <w:tcW w:w="1303" w:type="dxa"/>
          </w:tcPr>
          <w:p>
            <w:pPr>
              <w:pStyle w:val="TableParagraph"/>
              <w:spacing w:before="76"/>
              <w:ind w:left="122"/>
              <w:rPr>
                <w:sz w:val="24"/>
              </w:rPr>
            </w:pPr>
            <w:r>
              <w:rPr>
                <w:sz w:val="24"/>
              </w:rPr>
              <w:t>OC1</w:t>
            </w:r>
          </w:p>
        </w:tc>
        <w:tc>
          <w:tcPr>
            <w:tcW w:w="1702" w:type="dxa"/>
          </w:tcPr>
          <w:p>
            <w:pPr>
              <w:pStyle w:val="TableParagraph"/>
              <w:rPr>
                <w:sz w:val="22"/>
              </w:rPr>
            </w:pPr>
          </w:p>
        </w:tc>
        <w:tc>
          <w:tcPr>
            <w:tcW w:w="1701" w:type="dxa"/>
          </w:tcPr>
          <w:p>
            <w:pPr>
              <w:pStyle w:val="TableParagraph"/>
              <w:spacing w:before="76"/>
              <w:ind w:left="653"/>
              <w:rPr>
                <w:sz w:val="24"/>
              </w:rPr>
            </w:pPr>
            <w:r>
              <w:rPr>
                <w:color w:val="008000"/>
                <w:sz w:val="24"/>
              </w:rPr>
              <w:t>0.856</w:t>
            </w:r>
          </w:p>
        </w:tc>
        <w:tc>
          <w:tcPr>
            <w:tcW w:w="2367" w:type="dxa"/>
          </w:tcPr>
          <w:p>
            <w:pPr>
              <w:pStyle w:val="TableParagraph"/>
              <w:rPr>
                <w:sz w:val="22"/>
              </w:rPr>
            </w:pPr>
          </w:p>
        </w:tc>
      </w:tr>
      <w:tr>
        <w:trPr>
          <w:trHeight w:val="428" w:hRule="atLeast"/>
        </w:trPr>
        <w:tc>
          <w:tcPr>
            <w:tcW w:w="1303" w:type="dxa"/>
            <w:tcBorders>
              <w:bottom w:val="single" w:sz="4" w:space="0" w:color="000000"/>
            </w:tcBorders>
          </w:tcPr>
          <w:p>
            <w:pPr>
              <w:pStyle w:val="TableParagraph"/>
              <w:spacing w:before="75"/>
              <w:ind w:left="122"/>
              <w:rPr>
                <w:sz w:val="24"/>
              </w:rPr>
            </w:pPr>
            <w:r>
              <w:rPr>
                <w:sz w:val="24"/>
              </w:rPr>
              <w:t>OC2</w:t>
            </w:r>
          </w:p>
        </w:tc>
        <w:tc>
          <w:tcPr>
            <w:tcW w:w="1702" w:type="dxa"/>
            <w:tcBorders>
              <w:bottom w:val="single" w:sz="4" w:space="0" w:color="000000"/>
            </w:tcBorders>
          </w:tcPr>
          <w:p>
            <w:pPr>
              <w:pStyle w:val="TableParagraph"/>
              <w:rPr>
                <w:sz w:val="22"/>
              </w:rPr>
            </w:pPr>
          </w:p>
        </w:tc>
        <w:tc>
          <w:tcPr>
            <w:tcW w:w="1701" w:type="dxa"/>
            <w:tcBorders>
              <w:bottom w:val="single" w:sz="4" w:space="0" w:color="000000"/>
            </w:tcBorders>
          </w:tcPr>
          <w:p>
            <w:pPr>
              <w:pStyle w:val="TableParagraph"/>
              <w:spacing w:before="75"/>
              <w:ind w:left="653"/>
              <w:rPr>
                <w:sz w:val="24"/>
              </w:rPr>
            </w:pPr>
            <w:r>
              <w:rPr>
                <w:color w:val="008000"/>
                <w:sz w:val="24"/>
              </w:rPr>
              <w:t>0.746</w:t>
            </w:r>
          </w:p>
        </w:tc>
        <w:tc>
          <w:tcPr>
            <w:tcW w:w="2367" w:type="dxa"/>
            <w:tcBorders>
              <w:bottom w:val="single" w:sz="4" w:space="0" w:color="000000"/>
            </w:tcBorders>
          </w:tcPr>
          <w:p>
            <w:pPr>
              <w:pStyle w:val="TableParagraph"/>
              <w:rPr>
                <w:sz w:val="22"/>
              </w:rPr>
            </w:pPr>
          </w:p>
        </w:tc>
      </w:tr>
      <w:tr>
        <w:trPr>
          <w:trHeight w:val="436" w:hRule="atLeast"/>
        </w:trPr>
        <w:tc>
          <w:tcPr>
            <w:tcW w:w="1303" w:type="dxa"/>
            <w:tcBorders>
              <w:top w:val="single" w:sz="4" w:space="0" w:color="000000"/>
              <w:bottom w:val="single" w:sz="4" w:space="0" w:color="000000"/>
            </w:tcBorders>
          </w:tcPr>
          <w:p>
            <w:pPr>
              <w:pStyle w:val="TableParagraph"/>
              <w:spacing w:before="69"/>
              <w:ind w:left="122"/>
              <w:rPr>
                <w:sz w:val="24"/>
              </w:rPr>
            </w:pPr>
            <w:r>
              <w:rPr>
                <w:spacing w:val="-174"/>
                <w:w w:val="99"/>
                <w:position w:val="5"/>
                <w:sz w:val="24"/>
              </w:rPr>
              <w:t>O</w:t>
            </w:r>
            <w:r>
              <w:rPr>
                <w:w w:val="99"/>
                <w:sz w:val="24"/>
              </w:rPr>
              <w:t>V</w:t>
            </w:r>
            <w:r>
              <w:rPr>
                <w:spacing w:val="-161"/>
                <w:position w:val="5"/>
                <w:sz w:val="24"/>
              </w:rPr>
              <w:t>C</w:t>
            </w:r>
            <w:r>
              <w:rPr>
                <w:spacing w:val="-2"/>
                <w:sz w:val="24"/>
              </w:rPr>
              <w:t>a</w:t>
            </w:r>
            <w:r>
              <w:rPr>
                <w:spacing w:val="-25"/>
                <w:sz w:val="24"/>
              </w:rPr>
              <w:t>r</w:t>
            </w:r>
            <w:r>
              <w:rPr>
                <w:spacing w:val="-96"/>
                <w:position w:val="5"/>
                <w:sz w:val="24"/>
              </w:rPr>
              <w:t>3</w:t>
            </w:r>
            <w:r>
              <w:rPr>
                <w:sz w:val="24"/>
              </w:rPr>
              <w:t>i</w:t>
            </w:r>
            <w:r>
              <w:rPr>
                <w:spacing w:val="-2"/>
                <w:sz w:val="24"/>
              </w:rPr>
              <w:t>a</w:t>
            </w:r>
            <w:r>
              <w:rPr>
                <w:sz w:val="24"/>
              </w:rPr>
              <w:t>bles</w:t>
            </w:r>
          </w:p>
        </w:tc>
        <w:tc>
          <w:tcPr>
            <w:tcW w:w="1702" w:type="dxa"/>
            <w:tcBorders>
              <w:top w:val="single" w:sz="4" w:space="0" w:color="000000"/>
              <w:bottom w:val="single" w:sz="4" w:space="0" w:color="000000"/>
            </w:tcBorders>
          </w:tcPr>
          <w:p>
            <w:pPr>
              <w:pStyle w:val="TableParagraph"/>
              <w:spacing w:before="119"/>
              <w:ind w:left="575" w:right="479"/>
              <w:jc w:val="center"/>
              <w:rPr>
                <w:sz w:val="24"/>
              </w:rPr>
            </w:pPr>
            <w:r>
              <w:rPr>
                <w:sz w:val="24"/>
              </w:rPr>
              <w:t>LGS</w:t>
            </w:r>
          </w:p>
        </w:tc>
        <w:tc>
          <w:tcPr>
            <w:tcW w:w="1701" w:type="dxa"/>
            <w:tcBorders>
              <w:top w:val="single" w:sz="4" w:space="0" w:color="000000"/>
              <w:bottom w:val="single" w:sz="4" w:space="0" w:color="000000"/>
            </w:tcBorders>
          </w:tcPr>
          <w:p>
            <w:pPr>
              <w:pStyle w:val="TableParagraph"/>
              <w:spacing w:before="73"/>
              <w:ind w:left="653"/>
              <w:rPr>
                <w:sz w:val="24"/>
              </w:rPr>
            </w:pPr>
            <w:r>
              <w:rPr>
                <w:color w:val="008000"/>
                <w:sz w:val="24"/>
              </w:rPr>
              <w:t>0.</w:t>
            </w:r>
            <w:r>
              <w:rPr>
                <w:color w:val="008000"/>
                <w:spacing w:val="-68"/>
                <w:sz w:val="24"/>
              </w:rPr>
              <w:t>8</w:t>
            </w:r>
            <w:r>
              <w:rPr>
                <w:spacing w:val="-107"/>
                <w:w w:val="99"/>
                <w:position w:val="-4"/>
                <w:sz w:val="24"/>
              </w:rPr>
              <w:t>O</w:t>
            </w:r>
            <w:r>
              <w:rPr>
                <w:color w:val="008000"/>
                <w:spacing w:val="-15"/>
                <w:sz w:val="24"/>
              </w:rPr>
              <w:t>1</w:t>
            </w:r>
            <w:r>
              <w:rPr>
                <w:spacing w:val="-146"/>
                <w:position w:val="-4"/>
                <w:sz w:val="24"/>
              </w:rPr>
              <w:t>C</w:t>
            </w:r>
            <w:r>
              <w:rPr>
                <w:color w:val="008000"/>
                <w:sz w:val="24"/>
              </w:rPr>
              <w:t>5</w:t>
            </w:r>
          </w:p>
        </w:tc>
        <w:tc>
          <w:tcPr>
            <w:tcW w:w="2367" w:type="dxa"/>
            <w:tcBorders>
              <w:top w:val="single" w:sz="4" w:space="0" w:color="000000"/>
              <w:bottom w:val="single" w:sz="4" w:space="0" w:color="000000"/>
            </w:tcBorders>
          </w:tcPr>
          <w:p>
            <w:pPr>
              <w:pStyle w:val="TableParagraph"/>
              <w:spacing w:before="119"/>
              <w:ind w:left="1017" w:right="842"/>
              <w:jc w:val="center"/>
              <w:rPr>
                <w:sz w:val="24"/>
              </w:rPr>
            </w:pPr>
            <w:r>
              <w:rPr>
                <w:sz w:val="24"/>
              </w:rPr>
              <w:t>WIR</w:t>
            </w:r>
          </w:p>
        </w:tc>
      </w:tr>
      <w:tr>
        <w:trPr>
          <w:trHeight w:val="426" w:hRule="atLeast"/>
        </w:trPr>
        <w:tc>
          <w:tcPr>
            <w:tcW w:w="1303" w:type="dxa"/>
            <w:tcBorders>
              <w:top w:val="single" w:sz="4" w:space="0" w:color="000000"/>
            </w:tcBorders>
          </w:tcPr>
          <w:p>
            <w:pPr>
              <w:pStyle w:val="TableParagraph"/>
              <w:spacing w:before="63"/>
              <w:ind w:left="122"/>
              <w:rPr>
                <w:sz w:val="24"/>
              </w:rPr>
            </w:pPr>
            <w:r>
              <w:rPr>
                <w:spacing w:val="-227"/>
                <w:sz w:val="24"/>
              </w:rPr>
              <w:t>W</w:t>
            </w:r>
            <w:r>
              <w:rPr>
                <w:position w:val="-5"/>
                <w:sz w:val="24"/>
              </w:rPr>
              <w:t>L</w:t>
            </w:r>
            <w:r>
              <w:rPr>
                <w:spacing w:val="-93"/>
                <w:w w:val="99"/>
                <w:position w:val="-5"/>
                <w:sz w:val="24"/>
              </w:rPr>
              <w:t>G</w:t>
            </w:r>
            <w:r>
              <w:rPr>
                <w:spacing w:val="-4"/>
                <w:w w:val="99"/>
                <w:sz w:val="24"/>
              </w:rPr>
              <w:t>I</w:t>
            </w:r>
            <w:r>
              <w:rPr>
                <w:spacing w:val="-146"/>
                <w:w w:val="99"/>
                <w:sz w:val="24"/>
              </w:rPr>
              <w:t>R</w:t>
            </w:r>
            <w:r>
              <w:rPr>
                <w:spacing w:val="12"/>
                <w:w w:val="99"/>
                <w:position w:val="-5"/>
                <w:sz w:val="24"/>
              </w:rPr>
              <w:t>S</w:t>
            </w:r>
            <w:r>
              <w:rPr>
                <w:sz w:val="24"/>
              </w:rPr>
              <w:t>1</w:t>
            </w:r>
          </w:p>
        </w:tc>
        <w:tc>
          <w:tcPr>
            <w:tcW w:w="1702" w:type="dxa"/>
            <w:tcBorders>
              <w:top w:val="single" w:sz="4" w:space="0" w:color="000000"/>
            </w:tcBorders>
          </w:tcPr>
          <w:p>
            <w:pPr>
              <w:pStyle w:val="TableParagraph"/>
              <w:spacing w:before="119"/>
              <w:ind w:left="83"/>
              <w:jc w:val="center"/>
              <w:rPr>
                <w:sz w:val="24"/>
              </w:rPr>
            </w:pPr>
            <w:r>
              <w:rPr>
                <w:w w:val="99"/>
                <w:sz w:val="24"/>
              </w:rPr>
              <w:t>-</w:t>
            </w:r>
          </w:p>
        </w:tc>
        <w:tc>
          <w:tcPr>
            <w:tcW w:w="1701" w:type="dxa"/>
            <w:tcBorders>
              <w:top w:val="single" w:sz="4" w:space="0" w:color="000000"/>
            </w:tcBorders>
          </w:tcPr>
          <w:p>
            <w:pPr>
              <w:pStyle w:val="TableParagraph"/>
              <w:spacing w:before="119"/>
              <w:ind w:left="826"/>
              <w:rPr>
                <w:sz w:val="24"/>
              </w:rPr>
            </w:pPr>
            <w:r>
              <w:rPr>
                <w:sz w:val="24"/>
              </w:rPr>
              <w:t>0.139</w:t>
            </w:r>
          </w:p>
        </w:tc>
        <w:tc>
          <w:tcPr>
            <w:tcW w:w="2367" w:type="dxa"/>
            <w:tcBorders>
              <w:top w:val="single" w:sz="4" w:space="0" w:color="000000"/>
            </w:tcBorders>
          </w:tcPr>
          <w:p>
            <w:pPr>
              <w:pStyle w:val="TableParagraph"/>
              <w:spacing w:before="63"/>
              <w:ind w:left="714"/>
              <w:rPr>
                <w:sz w:val="24"/>
              </w:rPr>
            </w:pPr>
            <w:r>
              <w:rPr>
                <w:color w:val="008000"/>
                <w:sz w:val="24"/>
              </w:rPr>
              <w:t>0.82</w:t>
            </w:r>
            <w:r>
              <w:rPr>
                <w:position w:val="-5"/>
                <w:sz w:val="24"/>
              </w:rPr>
              <w:t>0</w:t>
            </w:r>
            <w:r>
              <w:rPr>
                <w:color w:val="008000"/>
                <w:sz w:val="24"/>
              </w:rPr>
              <w:t>1</w:t>
            </w:r>
            <w:r>
              <w:rPr>
                <w:position w:val="-5"/>
                <w:sz w:val="24"/>
              </w:rPr>
              <w:t>.620</w:t>
            </w:r>
          </w:p>
        </w:tc>
      </w:tr>
      <w:tr>
        <w:trPr>
          <w:trHeight w:val="438" w:hRule="atLeast"/>
        </w:trPr>
        <w:tc>
          <w:tcPr>
            <w:tcW w:w="1303" w:type="dxa"/>
          </w:tcPr>
          <w:p>
            <w:pPr>
              <w:pStyle w:val="TableParagraph"/>
              <w:spacing w:before="76"/>
              <w:ind w:left="122"/>
              <w:rPr>
                <w:sz w:val="24"/>
              </w:rPr>
            </w:pPr>
            <w:r>
              <w:rPr>
                <w:spacing w:val="-227"/>
                <w:sz w:val="24"/>
              </w:rPr>
              <w:t>W</w:t>
            </w:r>
            <w:r>
              <w:rPr>
                <w:spacing w:val="-1"/>
                <w:w w:val="99"/>
                <w:position w:val="-4"/>
                <w:sz w:val="24"/>
              </w:rPr>
              <w:t>O</w:t>
            </w:r>
            <w:r>
              <w:rPr>
                <w:spacing w:val="-106"/>
                <w:position w:val="-4"/>
                <w:sz w:val="24"/>
              </w:rPr>
              <w:t>C</w:t>
            </w:r>
            <w:r>
              <w:rPr>
                <w:spacing w:val="-4"/>
                <w:sz w:val="24"/>
              </w:rPr>
              <w:t>I</w:t>
            </w:r>
            <w:r>
              <w:rPr>
                <w:sz w:val="24"/>
              </w:rPr>
              <w:t>R2</w:t>
            </w:r>
          </w:p>
        </w:tc>
        <w:tc>
          <w:tcPr>
            <w:tcW w:w="1702" w:type="dxa"/>
          </w:tcPr>
          <w:p>
            <w:pPr>
              <w:pStyle w:val="TableParagraph"/>
              <w:rPr>
                <w:sz w:val="22"/>
              </w:rPr>
            </w:pPr>
          </w:p>
        </w:tc>
        <w:tc>
          <w:tcPr>
            <w:tcW w:w="1701" w:type="dxa"/>
          </w:tcPr>
          <w:p>
            <w:pPr>
              <w:pStyle w:val="TableParagraph"/>
              <w:rPr>
                <w:sz w:val="22"/>
              </w:rPr>
            </w:pPr>
          </w:p>
        </w:tc>
        <w:tc>
          <w:tcPr>
            <w:tcW w:w="2367" w:type="dxa"/>
          </w:tcPr>
          <w:p>
            <w:pPr>
              <w:pStyle w:val="TableParagraph"/>
              <w:spacing w:before="76"/>
              <w:ind w:left="714"/>
              <w:rPr>
                <w:sz w:val="24"/>
              </w:rPr>
            </w:pPr>
            <w:r>
              <w:rPr>
                <w:color w:val="008000"/>
                <w:sz w:val="24"/>
              </w:rPr>
              <w:t>0.7</w:t>
            </w:r>
            <w:r>
              <w:rPr>
                <w:emboss/>
                <w:color w:val="008000"/>
                <w:sz w:val="24"/>
              </w:rPr>
              <w:t>0</w:t>
            </w:r>
            <w:r>
              <w:rPr>
                <w:shadow w:val="0"/>
                <w:color w:val="008000"/>
                <w:sz w:val="24"/>
              </w:rPr>
              <w:t>7</w:t>
            </w:r>
            <w:r>
              <w:rPr>
                <w:shadow w:val="0"/>
                <w:position w:val="-4"/>
                <w:sz w:val="24"/>
              </w:rPr>
              <w:t>.193</w:t>
            </w:r>
          </w:p>
        </w:tc>
      </w:tr>
      <w:tr>
        <w:trPr>
          <w:trHeight w:val="437" w:hRule="atLeast"/>
        </w:trPr>
        <w:tc>
          <w:tcPr>
            <w:tcW w:w="1303" w:type="dxa"/>
          </w:tcPr>
          <w:p>
            <w:pPr>
              <w:pStyle w:val="TableParagraph"/>
              <w:spacing w:before="75"/>
              <w:ind w:left="122"/>
              <w:rPr>
                <w:sz w:val="24"/>
              </w:rPr>
            </w:pPr>
            <w:r>
              <w:rPr>
                <w:sz w:val="24"/>
              </w:rPr>
              <w:t>WIR3</w:t>
            </w:r>
          </w:p>
        </w:tc>
        <w:tc>
          <w:tcPr>
            <w:tcW w:w="1702" w:type="dxa"/>
          </w:tcPr>
          <w:p>
            <w:pPr>
              <w:pStyle w:val="TableParagraph"/>
              <w:rPr>
                <w:sz w:val="22"/>
              </w:rPr>
            </w:pPr>
          </w:p>
        </w:tc>
        <w:tc>
          <w:tcPr>
            <w:tcW w:w="1701" w:type="dxa"/>
          </w:tcPr>
          <w:p>
            <w:pPr>
              <w:pStyle w:val="TableParagraph"/>
              <w:rPr>
                <w:sz w:val="22"/>
              </w:rPr>
            </w:pPr>
          </w:p>
        </w:tc>
        <w:tc>
          <w:tcPr>
            <w:tcW w:w="2367" w:type="dxa"/>
          </w:tcPr>
          <w:p>
            <w:pPr>
              <w:pStyle w:val="TableParagraph"/>
              <w:spacing w:before="75"/>
              <w:ind w:left="714"/>
              <w:rPr>
                <w:sz w:val="24"/>
              </w:rPr>
            </w:pPr>
            <w:r>
              <w:rPr>
                <w:color w:val="008000"/>
                <w:sz w:val="24"/>
              </w:rPr>
              <w:t>0.781</w:t>
            </w:r>
          </w:p>
        </w:tc>
      </w:tr>
      <w:tr>
        <w:trPr>
          <w:trHeight w:val="410" w:hRule="atLeast"/>
        </w:trPr>
        <w:tc>
          <w:tcPr>
            <w:tcW w:w="1303" w:type="dxa"/>
            <w:tcBorders>
              <w:bottom w:val="double" w:sz="1" w:space="0" w:color="000000"/>
            </w:tcBorders>
          </w:tcPr>
          <w:p>
            <w:pPr>
              <w:pStyle w:val="TableParagraph"/>
              <w:spacing w:before="75"/>
              <w:ind w:left="122"/>
              <w:rPr>
                <w:sz w:val="24"/>
              </w:rPr>
            </w:pPr>
            <w:r>
              <w:rPr>
                <w:sz w:val="24"/>
              </w:rPr>
              <w:t>WIR4</w:t>
            </w:r>
          </w:p>
        </w:tc>
        <w:tc>
          <w:tcPr>
            <w:tcW w:w="1702" w:type="dxa"/>
            <w:tcBorders>
              <w:bottom w:val="double" w:sz="1" w:space="0" w:color="000000"/>
            </w:tcBorders>
          </w:tcPr>
          <w:p>
            <w:pPr>
              <w:pStyle w:val="TableParagraph"/>
              <w:rPr>
                <w:sz w:val="22"/>
              </w:rPr>
            </w:pPr>
          </w:p>
        </w:tc>
        <w:tc>
          <w:tcPr>
            <w:tcW w:w="1701" w:type="dxa"/>
            <w:tcBorders>
              <w:bottom w:val="double" w:sz="1" w:space="0" w:color="000000"/>
            </w:tcBorders>
          </w:tcPr>
          <w:p>
            <w:pPr>
              <w:pStyle w:val="TableParagraph"/>
              <w:rPr>
                <w:sz w:val="22"/>
              </w:rPr>
            </w:pPr>
          </w:p>
        </w:tc>
        <w:tc>
          <w:tcPr>
            <w:tcW w:w="2367" w:type="dxa"/>
            <w:tcBorders>
              <w:bottom w:val="double" w:sz="1" w:space="0" w:color="000000"/>
            </w:tcBorders>
          </w:tcPr>
          <w:p>
            <w:pPr>
              <w:pStyle w:val="TableParagraph"/>
              <w:spacing w:before="75"/>
              <w:ind w:left="714"/>
              <w:rPr>
                <w:sz w:val="24"/>
              </w:rPr>
            </w:pPr>
            <w:r>
              <w:rPr>
                <w:color w:val="008000"/>
                <w:sz w:val="24"/>
              </w:rPr>
              <w:t>0.755</w:t>
            </w:r>
          </w:p>
        </w:tc>
      </w:tr>
    </w:tbl>
    <w:p>
      <w:pPr>
        <w:pStyle w:val="BodyText"/>
        <w:rPr>
          <w:b/>
          <w:sz w:val="26"/>
        </w:rPr>
      </w:pPr>
    </w:p>
    <w:p>
      <w:pPr>
        <w:spacing w:before="220"/>
        <w:ind w:left="225" w:right="203" w:firstLine="0"/>
        <w:jc w:val="center"/>
        <w:rPr>
          <w:rFonts w:ascii="Carlito"/>
          <w:sz w:val="22"/>
        </w:rPr>
      </w:pPr>
      <w:r>
        <w:rPr>
          <w:rFonts w:ascii="Carlito"/>
          <w:sz w:val="22"/>
        </w:rPr>
        <w:t>12</w:t>
      </w:r>
    </w:p>
    <w:p>
      <w:pPr>
        <w:spacing w:after="0"/>
        <w:jc w:val="center"/>
        <w:rPr>
          <w:rFonts w:ascii="Carlito"/>
          <w:sz w:val="22"/>
        </w:rPr>
        <w:sectPr>
          <w:pgSz w:w="9000" w:h="14040"/>
          <w:pgMar w:top="680" w:bottom="280" w:left="840" w:right="860"/>
        </w:sectPr>
      </w:pPr>
    </w:p>
    <w:p>
      <w:pPr>
        <w:tabs>
          <w:tab w:pos="4887" w:val="left" w:leader="none"/>
        </w:tabs>
        <w:spacing w:before="39"/>
        <w:ind w:left="240" w:right="0" w:firstLine="0"/>
        <w:jc w:val="left"/>
        <w:rPr>
          <w:rFonts w:ascii="Carlito"/>
          <w:b/>
          <w:sz w:val="22"/>
        </w:rPr>
      </w:pPr>
      <w:r>
        <w:rPr>
          <w:rFonts w:ascii="Carlito"/>
          <w:b/>
          <w:sz w:val="22"/>
        </w:rPr>
        <w:t>Kan</w:t>
      </w:r>
      <w:r>
        <w:rPr>
          <w:rFonts w:ascii="Carlito"/>
          <w:b/>
          <w:spacing w:val="-2"/>
          <w:sz w:val="22"/>
        </w:rPr>
        <w:t> </w:t>
      </w:r>
      <w:r>
        <w:rPr>
          <w:rFonts w:ascii="Carlito"/>
          <w:b/>
          <w:sz w:val="22"/>
        </w:rPr>
        <w:t>&amp;</w:t>
      </w:r>
      <w:r>
        <w:rPr>
          <w:rFonts w:ascii="Carlito"/>
          <w:b/>
          <w:spacing w:val="1"/>
          <w:sz w:val="22"/>
        </w:rPr>
        <w:t> </w:t>
      </w:r>
      <w:r>
        <w:rPr>
          <w:rFonts w:ascii="Carlito"/>
          <w:b/>
          <w:sz w:val="22"/>
        </w:rPr>
        <w:t>Gul</w:t>
        <w:tab/>
      </w:r>
      <w:r>
        <w:rPr>
          <w:rFonts w:ascii="Carlito"/>
          <w:b/>
          <w:i/>
          <w:sz w:val="22"/>
        </w:rPr>
        <w:t>JSS</w:t>
      </w:r>
      <w:r>
        <w:rPr>
          <w:rFonts w:ascii="Carlito"/>
          <w:b/>
          <w:sz w:val="22"/>
        </w:rPr>
        <w:t>, Vol.11, No. 1</w:t>
      </w:r>
      <w:r>
        <w:rPr>
          <w:rFonts w:ascii="Carlito"/>
          <w:b/>
          <w:spacing w:val="-8"/>
          <w:sz w:val="22"/>
        </w:rPr>
        <w:t> </w:t>
      </w:r>
      <w:r>
        <w:rPr>
          <w:rFonts w:ascii="Carlito"/>
          <w:b/>
          <w:sz w:val="22"/>
        </w:rPr>
        <w:t>(2020)</w:t>
      </w:r>
    </w:p>
    <w:p>
      <w:pPr>
        <w:pStyle w:val="BodyText"/>
        <w:spacing w:before="8"/>
        <w:rPr>
          <w:rFonts w:ascii="Carlito"/>
          <w:b/>
          <w:sz w:val="14"/>
        </w:rPr>
      </w:pPr>
    </w:p>
    <w:p>
      <w:pPr>
        <w:spacing w:line="276" w:lineRule="auto" w:before="90"/>
        <w:ind w:left="240" w:right="217" w:firstLine="0"/>
        <w:jc w:val="both"/>
        <w:rPr>
          <w:i/>
          <w:sz w:val="24"/>
        </w:rPr>
      </w:pPr>
      <w:r>
        <w:rPr>
          <w:i/>
          <w:sz w:val="24"/>
        </w:rPr>
        <w:t>Note. LGS=Lack of generational stereotypes; OC=Organizational </w:t>
      </w:r>
      <w:r>
        <w:rPr>
          <w:i/>
          <w:sz w:val="24"/>
        </w:rPr>
        <w:t>commitment; WIR=Workplace intergenerational retention.</w:t>
      </w:r>
    </w:p>
    <w:p>
      <w:pPr>
        <w:pStyle w:val="BodyText"/>
        <w:spacing w:line="278" w:lineRule="auto" w:before="119"/>
        <w:ind w:left="240" w:right="220"/>
        <w:jc w:val="both"/>
      </w:pPr>
      <w:r>
        <w:rPr/>
        <w:t>Table above shows the loadings of the variables which present the significant values. All loadings values are above 0.5 because less than</w:t>
      </w:r>
    </w:p>
    <w:p>
      <w:pPr>
        <w:pStyle w:val="BodyText"/>
        <w:spacing w:line="276" w:lineRule="auto"/>
        <w:ind w:left="240" w:right="214"/>
        <w:jc w:val="both"/>
      </w:pPr>
      <w:r>
        <w:rPr/>
        <w:t>0.5 consider as weak loadings (Memon &amp; Rahman, 2014). </w:t>
      </w:r>
      <w:r>
        <w:rPr>
          <w:spacing w:val="-4"/>
        </w:rPr>
        <w:t>Path </w:t>
      </w:r>
      <w:r>
        <w:rPr/>
        <w:t>loading for well-fitting model should be above .70.(Henseler et al, 2016). The table shows all outer loadings are above 0.7 and on significant level. Only lgs4 loading is 0,64.</w:t>
      </w:r>
    </w:p>
    <w:p>
      <w:pPr>
        <w:spacing w:before="117"/>
        <w:ind w:left="225" w:right="207" w:firstLine="0"/>
        <w:jc w:val="center"/>
        <w:rPr>
          <w:b/>
          <w:i/>
          <w:sz w:val="24"/>
        </w:rPr>
      </w:pPr>
      <w:r>
        <w:rPr>
          <w:b/>
          <w:sz w:val="24"/>
        </w:rPr>
        <w:t>TABLE 6 </w:t>
      </w:r>
      <w:r>
        <w:rPr>
          <w:b/>
          <w:i/>
          <w:sz w:val="24"/>
        </w:rPr>
        <w:t>OUTER WEIGHTS</w:t>
      </w:r>
    </w:p>
    <w:p>
      <w:pPr>
        <w:spacing w:line="276" w:lineRule="auto" w:before="161"/>
        <w:ind w:left="240" w:right="219" w:firstLine="0"/>
        <w:jc w:val="both"/>
        <w:rPr>
          <w:i/>
          <w:sz w:val="24"/>
        </w:rPr>
      </w:pPr>
      <w:r>
        <w:rPr>
          <w:i/>
          <w:sz w:val="24"/>
        </w:rPr>
        <w:t>Note. LGS=Lack of generational stereotypes; OC=Organizational </w:t>
      </w:r>
      <w:r>
        <w:rPr>
          <w:i/>
          <w:sz w:val="24"/>
        </w:rPr>
        <w:t>commitment; WIR=Workplace intergenerational retention.</w:t>
      </w:r>
    </w:p>
    <w:p>
      <w:pPr>
        <w:pStyle w:val="BodyText"/>
        <w:spacing w:line="278" w:lineRule="auto" w:before="118" w:after="7"/>
        <w:ind w:left="240" w:right="220"/>
        <w:jc w:val="both"/>
      </w:pPr>
      <w:r>
        <w:rPr/>
        <w:t>In comparison of loadings the outer weights of the model do not vary from</w:t>
      </w:r>
      <w:r>
        <w:rPr>
          <w:spacing w:val="18"/>
        </w:rPr>
        <w:t> </w:t>
      </w:r>
      <w:r>
        <w:rPr/>
        <w:t>0</w:t>
      </w:r>
      <w:r>
        <w:rPr>
          <w:spacing w:val="17"/>
        </w:rPr>
        <w:t> </w:t>
      </w:r>
      <w:r>
        <w:rPr/>
        <w:t>to</w:t>
      </w:r>
      <w:r>
        <w:rPr>
          <w:spacing w:val="19"/>
        </w:rPr>
        <w:t> </w:t>
      </w:r>
      <w:r>
        <w:rPr/>
        <w:t>+1,</w:t>
      </w:r>
      <w:r>
        <w:rPr>
          <w:spacing w:val="17"/>
        </w:rPr>
        <w:t> </w:t>
      </w:r>
      <w:r>
        <w:rPr/>
        <w:t>_1.</w:t>
      </w:r>
      <w:r>
        <w:rPr>
          <w:spacing w:val="20"/>
        </w:rPr>
        <w:t> </w:t>
      </w:r>
      <w:r>
        <w:rPr/>
        <w:t>Its</w:t>
      </w:r>
      <w:r>
        <w:rPr>
          <w:spacing w:val="19"/>
        </w:rPr>
        <w:t> </w:t>
      </w:r>
      <w:r>
        <w:rPr/>
        <w:t>value</w:t>
      </w:r>
      <w:r>
        <w:rPr>
          <w:spacing w:val="17"/>
        </w:rPr>
        <w:t> </w:t>
      </w:r>
      <w:r>
        <w:rPr/>
        <w:t>varies</w:t>
      </w:r>
      <w:r>
        <w:rPr>
          <w:spacing w:val="20"/>
        </w:rPr>
        <w:t> </w:t>
      </w:r>
      <w:r>
        <w:rPr/>
        <w:t>from</w:t>
      </w:r>
      <w:r>
        <w:rPr>
          <w:spacing w:val="19"/>
        </w:rPr>
        <w:t> </w:t>
      </w:r>
      <w:r>
        <w:rPr/>
        <w:t>zero</w:t>
      </w:r>
      <w:r>
        <w:rPr>
          <w:spacing w:val="17"/>
        </w:rPr>
        <w:t> </w:t>
      </w:r>
      <w:r>
        <w:rPr/>
        <w:t>to</w:t>
      </w:r>
      <w:r>
        <w:rPr>
          <w:spacing w:val="18"/>
        </w:rPr>
        <w:t> </w:t>
      </w:r>
      <w:r>
        <w:rPr/>
        <w:t>absolute</w:t>
      </w:r>
      <w:r>
        <w:rPr>
          <w:spacing w:val="18"/>
        </w:rPr>
        <w:t> </w:t>
      </w:r>
      <w:r>
        <w:rPr/>
        <w:t>lower</w:t>
      </w:r>
      <w:r>
        <w:rPr>
          <w:spacing w:val="17"/>
        </w:rPr>
        <w:t> </w:t>
      </w:r>
      <w:r>
        <w:rPr/>
        <w:t>than</w:t>
      </w:r>
      <w:r>
        <w:rPr>
          <w:spacing w:val="17"/>
        </w:rPr>
        <w:t> </w:t>
      </w:r>
      <w:r>
        <w:rPr/>
        <w:t>1.</w:t>
      </w: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4"/>
        <w:gridCol w:w="1757"/>
        <w:gridCol w:w="1505"/>
        <w:gridCol w:w="2411"/>
      </w:tblGrid>
      <w:tr>
        <w:trPr>
          <w:trHeight w:val="420" w:hRule="atLeast"/>
        </w:trPr>
        <w:tc>
          <w:tcPr>
            <w:tcW w:w="1394" w:type="dxa"/>
            <w:tcBorders>
              <w:top w:val="single" w:sz="4" w:space="0" w:color="000000"/>
            </w:tcBorders>
          </w:tcPr>
          <w:p>
            <w:pPr>
              <w:pStyle w:val="TableParagraph"/>
              <w:spacing w:before="119"/>
              <w:ind w:left="116"/>
              <w:rPr>
                <w:sz w:val="24"/>
              </w:rPr>
            </w:pPr>
            <w:r>
              <w:rPr>
                <w:sz w:val="24"/>
              </w:rPr>
              <w:t>Items</w:t>
            </w:r>
          </w:p>
        </w:tc>
        <w:tc>
          <w:tcPr>
            <w:tcW w:w="1757" w:type="dxa"/>
            <w:tcBorders>
              <w:top w:val="single" w:sz="4" w:space="0" w:color="000000"/>
            </w:tcBorders>
          </w:tcPr>
          <w:p>
            <w:pPr>
              <w:pStyle w:val="TableParagraph"/>
              <w:rPr>
                <w:sz w:val="22"/>
              </w:rPr>
            </w:pPr>
          </w:p>
        </w:tc>
        <w:tc>
          <w:tcPr>
            <w:tcW w:w="1505" w:type="dxa"/>
            <w:tcBorders>
              <w:top w:val="single" w:sz="4" w:space="0" w:color="000000"/>
            </w:tcBorders>
          </w:tcPr>
          <w:p>
            <w:pPr>
              <w:pStyle w:val="TableParagraph"/>
              <w:rPr>
                <w:sz w:val="22"/>
              </w:rPr>
            </w:pPr>
          </w:p>
        </w:tc>
        <w:tc>
          <w:tcPr>
            <w:tcW w:w="2411" w:type="dxa"/>
            <w:tcBorders>
              <w:top w:val="single" w:sz="4" w:space="0" w:color="000000"/>
            </w:tcBorders>
          </w:tcPr>
          <w:p>
            <w:pPr>
              <w:pStyle w:val="TableParagraph"/>
              <w:rPr>
                <w:sz w:val="22"/>
              </w:rPr>
            </w:pPr>
          </w:p>
        </w:tc>
      </w:tr>
      <w:tr>
        <w:trPr>
          <w:trHeight w:val="335" w:hRule="atLeast"/>
        </w:trPr>
        <w:tc>
          <w:tcPr>
            <w:tcW w:w="1394" w:type="dxa"/>
            <w:tcBorders>
              <w:bottom w:val="single" w:sz="4" w:space="0" w:color="000000"/>
            </w:tcBorders>
          </w:tcPr>
          <w:p>
            <w:pPr>
              <w:pStyle w:val="TableParagraph"/>
              <w:rPr>
                <w:sz w:val="22"/>
              </w:rPr>
            </w:pPr>
          </w:p>
        </w:tc>
        <w:tc>
          <w:tcPr>
            <w:tcW w:w="1757" w:type="dxa"/>
            <w:tcBorders>
              <w:bottom w:val="single" w:sz="4" w:space="0" w:color="000000"/>
            </w:tcBorders>
          </w:tcPr>
          <w:p>
            <w:pPr>
              <w:pStyle w:val="TableParagraph"/>
              <w:spacing w:before="15"/>
              <w:ind w:left="691"/>
              <w:rPr>
                <w:sz w:val="24"/>
              </w:rPr>
            </w:pPr>
            <w:r>
              <w:rPr>
                <w:sz w:val="24"/>
              </w:rPr>
              <w:t>LGS</w:t>
            </w:r>
          </w:p>
        </w:tc>
        <w:tc>
          <w:tcPr>
            <w:tcW w:w="1505" w:type="dxa"/>
            <w:tcBorders>
              <w:bottom w:val="single" w:sz="4" w:space="0" w:color="000000"/>
            </w:tcBorders>
          </w:tcPr>
          <w:p>
            <w:pPr>
              <w:pStyle w:val="TableParagraph"/>
              <w:spacing w:before="15"/>
              <w:ind w:left="612"/>
              <w:rPr>
                <w:sz w:val="24"/>
              </w:rPr>
            </w:pPr>
            <w:r>
              <w:rPr>
                <w:sz w:val="24"/>
              </w:rPr>
              <w:t>OC</w:t>
            </w:r>
          </w:p>
        </w:tc>
        <w:tc>
          <w:tcPr>
            <w:tcW w:w="2411" w:type="dxa"/>
            <w:tcBorders>
              <w:bottom w:val="single" w:sz="4" w:space="0" w:color="000000"/>
            </w:tcBorders>
          </w:tcPr>
          <w:p>
            <w:pPr>
              <w:pStyle w:val="TableParagraph"/>
              <w:spacing w:before="15"/>
              <w:ind w:left="560"/>
              <w:rPr>
                <w:sz w:val="24"/>
              </w:rPr>
            </w:pPr>
            <w:r>
              <w:rPr>
                <w:sz w:val="24"/>
              </w:rPr>
              <w:t>WIR</w:t>
            </w:r>
          </w:p>
        </w:tc>
      </w:tr>
      <w:tr>
        <w:trPr>
          <w:trHeight w:val="480" w:hRule="atLeast"/>
        </w:trPr>
        <w:tc>
          <w:tcPr>
            <w:tcW w:w="1394" w:type="dxa"/>
            <w:tcBorders>
              <w:top w:val="single" w:sz="4" w:space="0" w:color="000000"/>
            </w:tcBorders>
          </w:tcPr>
          <w:p>
            <w:pPr>
              <w:pStyle w:val="TableParagraph"/>
              <w:spacing w:before="119"/>
              <w:ind w:left="116"/>
              <w:rPr>
                <w:sz w:val="24"/>
              </w:rPr>
            </w:pPr>
            <w:r>
              <w:rPr>
                <w:sz w:val="24"/>
              </w:rPr>
              <w:t>LGS1</w:t>
            </w:r>
          </w:p>
        </w:tc>
        <w:tc>
          <w:tcPr>
            <w:tcW w:w="1757" w:type="dxa"/>
            <w:tcBorders>
              <w:top w:val="single" w:sz="4" w:space="0" w:color="000000"/>
            </w:tcBorders>
          </w:tcPr>
          <w:p>
            <w:pPr>
              <w:pStyle w:val="TableParagraph"/>
              <w:spacing w:before="119"/>
              <w:ind w:left="691"/>
              <w:rPr>
                <w:sz w:val="24"/>
              </w:rPr>
            </w:pPr>
            <w:r>
              <w:rPr>
                <w:sz w:val="24"/>
              </w:rPr>
              <w:t>0.290</w:t>
            </w:r>
          </w:p>
        </w:tc>
        <w:tc>
          <w:tcPr>
            <w:tcW w:w="1505" w:type="dxa"/>
            <w:tcBorders>
              <w:top w:val="single" w:sz="4" w:space="0" w:color="000000"/>
            </w:tcBorders>
          </w:tcPr>
          <w:p>
            <w:pPr>
              <w:pStyle w:val="TableParagraph"/>
              <w:rPr>
                <w:sz w:val="22"/>
              </w:rPr>
            </w:pPr>
          </w:p>
        </w:tc>
        <w:tc>
          <w:tcPr>
            <w:tcW w:w="2411" w:type="dxa"/>
            <w:tcBorders>
              <w:top w:val="single" w:sz="4" w:space="0" w:color="000000"/>
            </w:tcBorders>
          </w:tcPr>
          <w:p>
            <w:pPr>
              <w:pStyle w:val="TableParagraph"/>
              <w:rPr>
                <w:sz w:val="22"/>
              </w:rPr>
            </w:pPr>
          </w:p>
        </w:tc>
      </w:tr>
      <w:tr>
        <w:trPr>
          <w:trHeight w:val="436" w:hRule="atLeast"/>
        </w:trPr>
        <w:tc>
          <w:tcPr>
            <w:tcW w:w="1394" w:type="dxa"/>
          </w:tcPr>
          <w:p>
            <w:pPr>
              <w:pStyle w:val="TableParagraph"/>
              <w:spacing w:before="75"/>
              <w:ind w:left="116"/>
              <w:rPr>
                <w:sz w:val="24"/>
              </w:rPr>
            </w:pPr>
            <w:r>
              <w:rPr>
                <w:sz w:val="24"/>
              </w:rPr>
              <w:t>LGS2</w:t>
            </w:r>
          </w:p>
        </w:tc>
        <w:tc>
          <w:tcPr>
            <w:tcW w:w="1757" w:type="dxa"/>
          </w:tcPr>
          <w:p>
            <w:pPr>
              <w:pStyle w:val="TableParagraph"/>
              <w:spacing w:before="75"/>
              <w:ind w:left="691"/>
              <w:rPr>
                <w:sz w:val="24"/>
              </w:rPr>
            </w:pPr>
            <w:r>
              <w:rPr>
                <w:sz w:val="24"/>
              </w:rPr>
              <w:t>0.429</w:t>
            </w:r>
          </w:p>
        </w:tc>
        <w:tc>
          <w:tcPr>
            <w:tcW w:w="1505" w:type="dxa"/>
          </w:tcPr>
          <w:p>
            <w:pPr>
              <w:pStyle w:val="TableParagraph"/>
              <w:rPr>
                <w:sz w:val="22"/>
              </w:rPr>
            </w:pPr>
          </w:p>
        </w:tc>
        <w:tc>
          <w:tcPr>
            <w:tcW w:w="2411" w:type="dxa"/>
          </w:tcPr>
          <w:p>
            <w:pPr>
              <w:pStyle w:val="TableParagraph"/>
              <w:rPr>
                <w:sz w:val="22"/>
              </w:rPr>
            </w:pPr>
          </w:p>
        </w:tc>
      </w:tr>
      <w:tr>
        <w:trPr>
          <w:trHeight w:val="437" w:hRule="atLeast"/>
        </w:trPr>
        <w:tc>
          <w:tcPr>
            <w:tcW w:w="1394" w:type="dxa"/>
          </w:tcPr>
          <w:p>
            <w:pPr>
              <w:pStyle w:val="TableParagraph"/>
              <w:spacing w:before="75"/>
              <w:ind w:left="116"/>
              <w:rPr>
                <w:sz w:val="24"/>
              </w:rPr>
            </w:pPr>
            <w:r>
              <w:rPr>
                <w:sz w:val="24"/>
              </w:rPr>
              <w:t>LGS3</w:t>
            </w:r>
          </w:p>
        </w:tc>
        <w:tc>
          <w:tcPr>
            <w:tcW w:w="1757" w:type="dxa"/>
          </w:tcPr>
          <w:p>
            <w:pPr>
              <w:pStyle w:val="TableParagraph"/>
              <w:spacing w:before="75"/>
              <w:ind w:left="691"/>
              <w:rPr>
                <w:sz w:val="24"/>
              </w:rPr>
            </w:pPr>
            <w:r>
              <w:rPr>
                <w:sz w:val="24"/>
              </w:rPr>
              <w:t>0.258</w:t>
            </w:r>
          </w:p>
        </w:tc>
        <w:tc>
          <w:tcPr>
            <w:tcW w:w="1505" w:type="dxa"/>
          </w:tcPr>
          <w:p>
            <w:pPr>
              <w:pStyle w:val="TableParagraph"/>
              <w:rPr>
                <w:sz w:val="22"/>
              </w:rPr>
            </w:pPr>
          </w:p>
        </w:tc>
        <w:tc>
          <w:tcPr>
            <w:tcW w:w="2411" w:type="dxa"/>
          </w:tcPr>
          <w:p>
            <w:pPr>
              <w:pStyle w:val="TableParagraph"/>
              <w:rPr>
                <w:sz w:val="22"/>
              </w:rPr>
            </w:pPr>
          </w:p>
        </w:tc>
      </w:tr>
      <w:tr>
        <w:trPr>
          <w:trHeight w:val="438" w:hRule="atLeast"/>
        </w:trPr>
        <w:tc>
          <w:tcPr>
            <w:tcW w:w="1394" w:type="dxa"/>
          </w:tcPr>
          <w:p>
            <w:pPr>
              <w:pStyle w:val="TableParagraph"/>
              <w:spacing w:before="76"/>
              <w:ind w:left="116"/>
              <w:rPr>
                <w:sz w:val="24"/>
              </w:rPr>
            </w:pPr>
            <w:r>
              <w:rPr>
                <w:sz w:val="24"/>
              </w:rPr>
              <w:t>LGS4</w:t>
            </w:r>
          </w:p>
        </w:tc>
        <w:tc>
          <w:tcPr>
            <w:tcW w:w="1757" w:type="dxa"/>
          </w:tcPr>
          <w:p>
            <w:pPr>
              <w:pStyle w:val="TableParagraph"/>
              <w:spacing w:before="76"/>
              <w:ind w:left="691"/>
              <w:rPr>
                <w:sz w:val="24"/>
              </w:rPr>
            </w:pPr>
            <w:r>
              <w:rPr>
                <w:sz w:val="24"/>
              </w:rPr>
              <w:t>0.364</w:t>
            </w:r>
          </w:p>
        </w:tc>
        <w:tc>
          <w:tcPr>
            <w:tcW w:w="1505" w:type="dxa"/>
          </w:tcPr>
          <w:p>
            <w:pPr>
              <w:pStyle w:val="TableParagraph"/>
              <w:rPr>
                <w:sz w:val="22"/>
              </w:rPr>
            </w:pPr>
          </w:p>
        </w:tc>
        <w:tc>
          <w:tcPr>
            <w:tcW w:w="2411" w:type="dxa"/>
          </w:tcPr>
          <w:p>
            <w:pPr>
              <w:pStyle w:val="TableParagraph"/>
              <w:rPr>
                <w:sz w:val="22"/>
              </w:rPr>
            </w:pPr>
          </w:p>
        </w:tc>
      </w:tr>
      <w:tr>
        <w:trPr>
          <w:trHeight w:val="437" w:hRule="atLeast"/>
        </w:trPr>
        <w:tc>
          <w:tcPr>
            <w:tcW w:w="1394" w:type="dxa"/>
          </w:tcPr>
          <w:p>
            <w:pPr>
              <w:pStyle w:val="TableParagraph"/>
              <w:spacing w:before="75"/>
              <w:ind w:left="116"/>
              <w:rPr>
                <w:sz w:val="24"/>
              </w:rPr>
            </w:pPr>
            <w:r>
              <w:rPr>
                <w:sz w:val="24"/>
              </w:rPr>
              <w:t>OC1</w:t>
            </w:r>
          </w:p>
        </w:tc>
        <w:tc>
          <w:tcPr>
            <w:tcW w:w="1757" w:type="dxa"/>
          </w:tcPr>
          <w:p>
            <w:pPr>
              <w:pStyle w:val="TableParagraph"/>
              <w:rPr>
                <w:sz w:val="22"/>
              </w:rPr>
            </w:pPr>
          </w:p>
        </w:tc>
        <w:tc>
          <w:tcPr>
            <w:tcW w:w="1505" w:type="dxa"/>
          </w:tcPr>
          <w:p>
            <w:pPr>
              <w:pStyle w:val="TableParagraph"/>
              <w:spacing w:before="75"/>
              <w:ind w:left="612"/>
              <w:rPr>
                <w:sz w:val="24"/>
              </w:rPr>
            </w:pPr>
            <w:r>
              <w:rPr>
                <w:sz w:val="24"/>
              </w:rPr>
              <w:t>0.478</w:t>
            </w:r>
          </w:p>
        </w:tc>
        <w:tc>
          <w:tcPr>
            <w:tcW w:w="2411" w:type="dxa"/>
          </w:tcPr>
          <w:p>
            <w:pPr>
              <w:pStyle w:val="TableParagraph"/>
              <w:rPr>
                <w:sz w:val="22"/>
              </w:rPr>
            </w:pPr>
          </w:p>
        </w:tc>
      </w:tr>
      <w:tr>
        <w:trPr>
          <w:trHeight w:val="437" w:hRule="atLeast"/>
        </w:trPr>
        <w:tc>
          <w:tcPr>
            <w:tcW w:w="1394" w:type="dxa"/>
          </w:tcPr>
          <w:p>
            <w:pPr>
              <w:pStyle w:val="TableParagraph"/>
              <w:spacing w:before="75"/>
              <w:ind w:left="116"/>
              <w:rPr>
                <w:sz w:val="24"/>
              </w:rPr>
            </w:pPr>
            <w:r>
              <w:rPr>
                <w:sz w:val="24"/>
              </w:rPr>
              <w:t>OC2</w:t>
            </w:r>
          </w:p>
        </w:tc>
        <w:tc>
          <w:tcPr>
            <w:tcW w:w="1757" w:type="dxa"/>
          </w:tcPr>
          <w:p>
            <w:pPr>
              <w:pStyle w:val="TableParagraph"/>
              <w:rPr>
                <w:sz w:val="22"/>
              </w:rPr>
            </w:pPr>
          </w:p>
        </w:tc>
        <w:tc>
          <w:tcPr>
            <w:tcW w:w="1505" w:type="dxa"/>
          </w:tcPr>
          <w:p>
            <w:pPr>
              <w:pStyle w:val="TableParagraph"/>
              <w:spacing w:before="75"/>
              <w:ind w:left="612"/>
              <w:rPr>
                <w:sz w:val="24"/>
              </w:rPr>
            </w:pPr>
            <w:r>
              <w:rPr>
                <w:sz w:val="24"/>
              </w:rPr>
              <w:t>0.395</w:t>
            </w:r>
          </w:p>
        </w:tc>
        <w:tc>
          <w:tcPr>
            <w:tcW w:w="2411" w:type="dxa"/>
          </w:tcPr>
          <w:p>
            <w:pPr>
              <w:pStyle w:val="TableParagraph"/>
              <w:rPr>
                <w:sz w:val="22"/>
              </w:rPr>
            </w:pPr>
          </w:p>
        </w:tc>
      </w:tr>
      <w:tr>
        <w:trPr>
          <w:trHeight w:val="438" w:hRule="atLeast"/>
        </w:trPr>
        <w:tc>
          <w:tcPr>
            <w:tcW w:w="1394" w:type="dxa"/>
          </w:tcPr>
          <w:p>
            <w:pPr>
              <w:pStyle w:val="TableParagraph"/>
              <w:spacing w:before="75"/>
              <w:ind w:left="116"/>
              <w:rPr>
                <w:sz w:val="24"/>
              </w:rPr>
            </w:pPr>
            <w:r>
              <w:rPr>
                <w:sz w:val="24"/>
              </w:rPr>
              <w:t>OC3</w:t>
            </w:r>
          </w:p>
        </w:tc>
        <w:tc>
          <w:tcPr>
            <w:tcW w:w="1757" w:type="dxa"/>
          </w:tcPr>
          <w:p>
            <w:pPr>
              <w:pStyle w:val="TableParagraph"/>
              <w:rPr>
                <w:sz w:val="22"/>
              </w:rPr>
            </w:pPr>
          </w:p>
        </w:tc>
        <w:tc>
          <w:tcPr>
            <w:tcW w:w="1505" w:type="dxa"/>
          </w:tcPr>
          <w:p>
            <w:pPr>
              <w:pStyle w:val="TableParagraph"/>
              <w:spacing w:before="75"/>
              <w:ind w:left="612"/>
              <w:rPr>
                <w:sz w:val="24"/>
              </w:rPr>
            </w:pPr>
            <w:r>
              <w:rPr>
                <w:sz w:val="24"/>
              </w:rPr>
              <w:t>0.364</w:t>
            </w:r>
          </w:p>
        </w:tc>
        <w:tc>
          <w:tcPr>
            <w:tcW w:w="2411" w:type="dxa"/>
          </w:tcPr>
          <w:p>
            <w:pPr>
              <w:pStyle w:val="TableParagraph"/>
              <w:rPr>
                <w:sz w:val="22"/>
              </w:rPr>
            </w:pPr>
          </w:p>
        </w:tc>
      </w:tr>
      <w:tr>
        <w:trPr>
          <w:trHeight w:val="437" w:hRule="atLeast"/>
        </w:trPr>
        <w:tc>
          <w:tcPr>
            <w:tcW w:w="1394" w:type="dxa"/>
          </w:tcPr>
          <w:p>
            <w:pPr>
              <w:pStyle w:val="TableParagraph"/>
              <w:spacing w:before="76"/>
              <w:ind w:left="116"/>
              <w:rPr>
                <w:sz w:val="24"/>
              </w:rPr>
            </w:pPr>
            <w:r>
              <w:rPr>
                <w:sz w:val="24"/>
              </w:rPr>
              <w:t>WIR1</w:t>
            </w:r>
          </w:p>
        </w:tc>
        <w:tc>
          <w:tcPr>
            <w:tcW w:w="1757" w:type="dxa"/>
          </w:tcPr>
          <w:p>
            <w:pPr>
              <w:pStyle w:val="TableParagraph"/>
              <w:rPr>
                <w:sz w:val="22"/>
              </w:rPr>
            </w:pPr>
          </w:p>
        </w:tc>
        <w:tc>
          <w:tcPr>
            <w:tcW w:w="1505" w:type="dxa"/>
          </w:tcPr>
          <w:p>
            <w:pPr>
              <w:pStyle w:val="TableParagraph"/>
              <w:rPr>
                <w:sz w:val="22"/>
              </w:rPr>
            </w:pPr>
          </w:p>
        </w:tc>
        <w:tc>
          <w:tcPr>
            <w:tcW w:w="2411" w:type="dxa"/>
          </w:tcPr>
          <w:p>
            <w:pPr>
              <w:pStyle w:val="TableParagraph"/>
              <w:spacing w:before="76"/>
              <w:ind w:left="560"/>
              <w:rPr>
                <w:sz w:val="24"/>
              </w:rPr>
            </w:pPr>
            <w:r>
              <w:rPr>
                <w:sz w:val="24"/>
              </w:rPr>
              <w:t>0.364</w:t>
            </w:r>
          </w:p>
        </w:tc>
      </w:tr>
      <w:tr>
        <w:trPr>
          <w:trHeight w:val="436" w:hRule="atLeast"/>
        </w:trPr>
        <w:tc>
          <w:tcPr>
            <w:tcW w:w="1394" w:type="dxa"/>
          </w:tcPr>
          <w:p>
            <w:pPr>
              <w:pStyle w:val="TableParagraph"/>
              <w:spacing w:before="75"/>
              <w:ind w:left="116"/>
              <w:rPr>
                <w:sz w:val="24"/>
              </w:rPr>
            </w:pPr>
            <w:r>
              <w:rPr>
                <w:sz w:val="24"/>
              </w:rPr>
              <w:t>WIR2</w:t>
            </w:r>
          </w:p>
        </w:tc>
        <w:tc>
          <w:tcPr>
            <w:tcW w:w="1757" w:type="dxa"/>
          </w:tcPr>
          <w:p>
            <w:pPr>
              <w:pStyle w:val="TableParagraph"/>
              <w:rPr>
                <w:sz w:val="22"/>
              </w:rPr>
            </w:pPr>
          </w:p>
        </w:tc>
        <w:tc>
          <w:tcPr>
            <w:tcW w:w="1505" w:type="dxa"/>
          </w:tcPr>
          <w:p>
            <w:pPr>
              <w:pStyle w:val="TableParagraph"/>
              <w:rPr>
                <w:sz w:val="22"/>
              </w:rPr>
            </w:pPr>
          </w:p>
        </w:tc>
        <w:tc>
          <w:tcPr>
            <w:tcW w:w="2411" w:type="dxa"/>
          </w:tcPr>
          <w:p>
            <w:pPr>
              <w:pStyle w:val="TableParagraph"/>
              <w:spacing w:before="75"/>
              <w:ind w:left="560"/>
              <w:rPr>
                <w:sz w:val="24"/>
              </w:rPr>
            </w:pPr>
            <w:r>
              <w:rPr>
                <w:sz w:val="24"/>
              </w:rPr>
              <w:t>0.286</w:t>
            </w:r>
          </w:p>
        </w:tc>
      </w:tr>
      <w:tr>
        <w:trPr>
          <w:trHeight w:val="436" w:hRule="atLeast"/>
        </w:trPr>
        <w:tc>
          <w:tcPr>
            <w:tcW w:w="1394" w:type="dxa"/>
          </w:tcPr>
          <w:p>
            <w:pPr>
              <w:pStyle w:val="TableParagraph"/>
              <w:spacing w:before="75"/>
              <w:ind w:left="116"/>
              <w:rPr>
                <w:sz w:val="24"/>
              </w:rPr>
            </w:pPr>
            <w:r>
              <w:rPr>
                <w:sz w:val="24"/>
              </w:rPr>
              <w:t>WIR3</w:t>
            </w:r>
          </w:p>
        </w:tc>
        <w:tc>
          <w:tcPr>
            <w:tcW w:w="1757" w:type="dxa"/>
          </w:tcPr>
          <w:p>
            <w:pPr>
              <w:pStyle w:val="TableParagraph"/>
              <w:rPr>
                <w:sz w:val="22"/>
              </w:rPr>
            </w:pPr>
          </w:p>
        </w:tc>
        <w:tc>
          <w:tcPr>
            <w:tcW w:w="1505" w:type="dxa"/>
          </w:tcPr>
          <w:p>
            <w:pPr>
              <w:pStyle w:val="TableParagraph"/>
              <w:rPr>
                <w:sz w:val="22"/>
              </w:rPr>
            </w:pPr>
          </w:p>
        </w:tc>
        <w:tc>
          <w:tcPr>
            <w:tcW w:w="2411" w:type="dxa"/>
          </w:tcPr>
          <w:p>
            <w:pPr>
              <w:pStyle w:val="TableParagraph"/>
              <w:spacing w:before="75"/>
              <w:ind w:left="560"/>
              <w:rPr>
                <w:sz w:val="24"/>
              </w:rPr>
            </w:pPr>
            <w:r>
              <w:rPr>
                <w:sz w:val="24"/>
              </w:rPr>
              <w:t>0.339</w:t>
            </w:r>
          </w:p>
        </w:tc>
      </w:tr>
      <w:tr>
        <w:trPr>
          <w:trHeight w:val="395" w:hRule="atLeast"/>
        </w:trPr>
        <w:tc>
          <w:tcPr>
            <w:tcW w:w="1394" w:type="dxa"/>
            <w:tcBorders>
              <w:bottom w:val="single" w:sz="4" w:space="0" w:color="000000"/>
            </w:tcBorders>
          </w:tcPr>
          <w:p>
            <w:pPr>
              <w:pStyle w:val="TableParagraph"/>
              <w:spacing w:before="75"/>
              <w:ind w:left="116"/>
              <w:rPr>
                <w:sz w:val="24"/>
              </w:rPr>
            </w:pPr>
            <w:r>
              <w:rPr>
                <w:sz w:val="24"/>
              </w:rPr>
              <w:t>WIR4</w:t>
            </w:r>
          </w:p>
        </w:tc>
        <w:tc>
          <w:tcPr>
            <w:tcW w:w="1757" w:type="dxa"/>
            <w:tcBorders>
              <w:bottom w:val="single" w:sz="4" w:space="0" w:color="000000"/>
            </w:tcBorders>
          </w:tcPr>
          <w:p>
            <w:pPr>
              <w:pStyle w:val="TableParagraph"/>
              <w:rPr>
                <w:sz w:val="22"/>
              </w:rPr>
            </w:pPr>
          </w:p>
        </w:tc>
        <w:tc>
          <w:tcPr>
            <w:tcW w:w="1505" w:type="dxa"/>
            <w:tcBorders>
              <w:bottom w:val="single" w:sz="4" w:space="0" w:color="000000"/>
            </w:tcBorders>
          </w:tcPr>
          <w:p>
            <w:pPr>
              <w:pStyle w:val="TableParagraph"/>
              <w:rPr>
                <w:sz w:val="22"/>
              </w:rPr>
            </w:pPr>
          </w:p>
        </w:tc>
        <w:tc>
          <w:tcPr>
            <w:tcW w:w="2411" w:type="dxa"/>
            <w:tcBorders>
              <w:bottom w:val="single" w:sz="4" w:space="0" w:color="000000"/>
            </w:tcBorders>
          </w:tcPr>
          <w:p>
            <w:pPr>
              <w:pStyle w:val="TableParagraph"/>
              <w:spacing w:before="75"/>
              <w:ind w:left="560"/>
              <w:rPr>
                <w:sz w:val="24"/>
              </w:rPr>
            </w:pPr>
            <w:r>
              <w:rPr>
                <w:sz w:val="24"/>
              </w:rPr>
              <w:t>0.310</w:t>
            </w:r>
          </w:p>
        </w:tc>
      </w:tr>
    </w:tbl>
    <w:p>
      <w:pPr>
        <w:pStyle w:val="BodyText"/>
        <w:spacing w:line="276" w:lineRule="auto"/>
        <w:ind w:left="240" w:right="219"/>
        <w:jc w:val="both"/>
      </w:pPr>
      <w:r>
        <w:rPr/>
        <w:t>Sometime it is possible the outer weight of the model is not significant in contrast with outer loadings (Memon &amp; Rahman, 2014). The present model</w:t>
      </w:r>
      <w:r>
        <w:rPr>
          <w:spacing w:val="22"/>
        </w:rPr>
        <w:t> </w:t>
      </w:r>
      <w:r>
        <w:rPr/>
        <w:t>shows</w:t>
      </w:r>
      <w:r>
        <w:rPr>
          <w:spacing w:val="22"/>
        </w:rPr>
        <w:t> </w:t>
      </w:r>
      <w:r>
        <w:rPr/>
        <w:t>all</w:t>
      </w:r>
      <w:r>
        <w:rPr>
          <w:spacing w:val="23"/>
        </w:rPr>
        <w:t> </w:t>
      </w:r>
      <w:r>
        <w:rPr/>
        <w:t>outer</w:t>
      </w:r>
      <w:r>
        <w:rPr>
          <w:spacing w:val="24"/>
        </w:rPr>
        <w:t> </w:t>
      </w:r>
      <w:r>
        <w:rPr/>
        <w:t>weights</w:t>
      </w:r>
      <w:r>
        <w:rPr>
          <w:spacing w:val="23"/>
        </w:rPr>
        <w:t> </w:t>
      </w:r>
      <w:r>
        <w:rPr/>
        <w:t>of</w:t>
      </w:r>
      <w:r>
        <w:rPr>
          <w:spacing w:val="22"/>
        </w:rPr>
        <w:t> </w:t>
      </w:r>
      <w:r>
        <w:rPr/>
        <w:t>LGS,</w:t>
      </w:r>
      <w:r>
        <w:rPr>
          <w:spacing w:val="23"/>
        </w:rPr>
        <w:t> </w:t>
      </w:r>
      <w:r>
        <w:rPr/>
        <w:t>OC</w:t>
      </w:r>
      <w:r>
        <w:rPr>
          <w:spacing w:val="25"/>
        </w:rPr>
        <w:t> </w:t>
      </w:r>
      <w:r>
        <w:rPr/>
        <w:t>and</w:t>
      </w:r>
      <w:r>
        <w:rPr>
          <w:spacing w:val="25"/>
        </w:rPr>
        <w:t> </w:t>
      </w:r>
      <w:r>
        <w:rPr/>
        <w:t>WIR</w:t>
      </w:r>
      <w:r>
        <w:rPr>
          <w:spacing w:val="23"/>
        </w:rPr>
        <w:t> </w:t>
      </w:r>
      <w:r>
        <w:rPr/>
        <w:t>vary</w:t>
      </w:r>
      <w:r>
        <w:rPr>
          <w:spacing w:val="25"/>
        </w:rPr>
        <w:t> </w:t>
      </w:r>
      <w:r>
        <w:rPr/>
        <w:t>from</w:t>
      </w:r>
      <w:r>
        <w:rPr>
          <w:spacing w:val="23"/>
        </w:rPr>
        <w:t> </w:t>
      </w:r>
      <w:r>
        <w:rPr/>
        <w:t>0</w:t>
      </w:r>
      <w:r>
        <w:rPr>
          <w:spacing w:val="24"/>
        </w:rPr>
        <w:t> </w:t>
      </w:r>
      <w:r>
        <w:rPr/>
        <w:t>to</w:t>
      </w:r>
    </w:p>
    <w:p>
      <w:pPr>
        <w:pStyle w:val="BodyText"/>
        <w:spacing w:before="5"/>
        <w:rPr>
          <w:sz w:val="26"/>
        </w:rPr>
      </w:pPr>
    </w:p>
    <w:p>
      <w:pPr>
        <w:spacing w:before="57"/>
        <w:ind w:left="225" w:right="203" w:firstLine="0"/>
        <w:jc w:val="center"/>
        <w:rPr>
          <w:rFonts w:ascii="Carlito"/>
          <w:sz w:val="22"/>
        </w:rPr>
      </w:pPr>
      <w:r>
        <w:rPr>
          <w:rFonts w:ascii="Carlito"/>
          <w:sz w:val="22"/>
        </w:rPr>
        <w:t>13</w:t>
      </w:r>
    </w:p>
    <w:p>
      <w:pPr>
        <w:spacing w:after="0"/>
        <w:jc w:val="center"/>
        <w:rPr>
          <w:rFonts w:ascii="Carlito"/>
          <w:sz w:val="22"/>
        </w:rPr>
        <w:sectPr>
          <w:pgSz w:w="9000" w:h="14040"/>
          <w:pgMar w:top="680" w:bottom="280" w:left="840" w:right="860"/>
        </w:sectPr>
      </w:pPr>
    </w:p>
    <w:p>
      <w:pPr>
        <w:tabs>
          <w:tab w:pos="4863" w:val="left" w:leader="none"/>
        </w:tabs>
        <w:spacing w:before="39"/>
        <w:ind w:left="240" w:right="0" w:firstLine="0"/>
        <w:jc w:val="left"/>
        <w:rPr>
          <w:rFonts w:ascii="Carlito"/>
          <w:b/>
          <w:sz w:val="22"/>
        </w:rPr>
      </w:pPr>
      <w:r>
        <w:rPr>
          <w:rFonts w:ascii="Carlito"/>
          <w:b/>
          <w:sz w:val="22"/>
        </w:rPr>
        <w:t>Lack of</w:t>
      </w:r>
      <w:r>
        <w:rPr>
          <w:rFonts w:ascii="Carlito"/>
          <w:b/>
          <w:spacing w:val="-5"/>
          <w:sz w:val="22"/>
        </w:rPr>
        <w:t> </w:t>
      </w:r>
      <w:r>
        <w:rPr>
          <w:rFonts w:ascii="Carlito"/>
          <w:b/>
          <w:sz w:val="22"/>
        </w:rPr>
        <w:t>Generational</w:t>
      </w:r>
      <w:r>
        <w:rPr>
          <w:rFonts w:ascii="Carlito"/>
          <w:b/>
          <w:spacing w:val="-4"/>
          <w:sz w:val="22"/>
        </w:rPr>
        <w:t> </w:t>
      </w:r>
      <w:r>
        <w:rPr>
          <w:rFonts w:ascii="Carlito"/>
          <w:b/>
          <w:sz w:val="22"/>
        </w:rPr>
        <w:t>Stereotypes</w:t>
        <w:tab/>
      </w:r>
      <w:r>
        <w:rPr>
          <w:rFonts w:ascii="Carlito"/>
          <w:b/>
          <w:i/>
          <w:sz w:val="22"/>
        </w:rPr>
        <w:t>JSS</w:t>
      </w:r>
      <w:r>
        <w:rPr>
          <w:rFonts w:ascii="Carlito"/>
          <w:b/>
          <w:sz w:val="22"/>
        </w:rPr>
        <w:t>, Vol.11, No. 1</w:t>
      </w:r>
      <w:r>
        <w:rPr>
          <w:rFonts w:ascii="Carlito"/>
          <w:b/>
          <w:spacing w:val="-7"/>
          <w:sz w:val="22"/>
        </w:rPr>
        <w:t> </w:t>
      </w:r>
      <w:r>
        <w:rPr>
          <w:rFonts w:ascii="Carlito"/>
          <w:b/>
          <w:sz w:val="22"/>
        </w:rPr>
        <w:t>(2020)</w:t>
      </w:r>
    </w:p>
    <w:p>
      <w:pPr>
        <w:pStyle w:val="BodyText"/>
        <w:spacing w:before="8"/>
        <w:rPr>
          <w:rFonts w:ascii="Carlito"/>
          <w:b/>
          <w:sz w:val="14"/>
        </w:rPr>
      </w:pPr>
    </w:p>
    <w:p>
      <w:pPr>
        <w:pStyle w:val="BodyText"/>
        <w:spacing w:line="276" w:lineRule="auto" w:before="90"/>
        <w:ind w:left="240" w:right="221"/>
        <w:jc w:val="both"/>
      </w:pPr>
      <w:r>
        <w:rPr/>
        <w:t>maximum absolute value of lower than +1 which are compatible with outer loadings.</w:t>
      </w:r>
    </w:p>
    <w:p>
      <w:pPr>
        <w:spacing w:before="119"/>
        <w:ind w:left="1495" w:right="0" w:firstLine="0"/>
        <w:jc w:val="left"/>
        <w:rPr>
          <w:b/>
          <w:i/>
          <w:sz w:val="24"/>
        </w:rPr>
      </w:pPr>
      <w:r>
        <w:rPr>
          <w:b/>
          <w:i/>
          <w:sz w:val="24"/>
        </w:rPr>
        <w:t>TABLE 7 Construct Reliability and Validity</w:t>
      </w:r>
    </w:p>
    <w:p>
      <w:pPr>
        <w:pStyle w:val="BodyText"/>
        <w:spacing w:before="9" w:after="1"/>
        <w:rPr>
          <w:b/>
          <w:i/>
          <w:sz w:val="12"/>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7"/>
        <w:gridCol w:w="1191"/>
        <w:gridCol w:w="1309"/>
        <w:gridCol w:w="1579"/>
        <w:gridCol w:w="2091"/>
      </w:tblGrid>
      <w:tr>
        <w:trPr>
          <w:trHeight w:val="1509" w:hRule="atLeast"/>
        </w:trPr>
        <w:tc>
          <w:tcPr>
            <w:tcW w:w="897" w:type="dxa"/>
            <w:tcBorders>
              <w:top w:val="single" w:sz="4" w:space="0" w:color="000000"/>
              <w:bottom w:val="single" w:sz="4" w:space="0" w:color="000000"/>
            </w:tcBorders>
          </w:tcPr>
          <w:p>
            <w:pPr>
              <w:pStyle w:val="TableParagraph"/>
              <w:rPr>
                <w:b/>
                <w:i/>
                <w:sz w:val="26"/>
              </w:rPr>
            </w:pPr>
          </w:p>
          <w:p>
            <w:pPr>
              <w:pStyle w:val="TableParagraph"/>
              <w:spacing w:before="6"/>
              <w:rPr>
                <w:b/>
                <w:i/>
                <w:sz w:val="22"/>
              </w:rPr>
            </w:pPr>
          </w:p>
          <w:p>
            <w:pPr>
              <w:pStyle w:val="TableParagraph"/>
              <w:ind w:left="122"/>
              <w:rPr>
                <w:sz w:val="24"/>
              </w:rPr>
            </w:pPr>
            <w:r>
              <w:rPr>
                <w:sz w:val="24"/>
              </w:rPr>
              <w:t>Items</w:t>
            </w:r>
          </w:p>
        </w:tc>
        <w:tc>
          <w:tcPr>
            <w:tcW w:w="1191" w:type="dxa"/>
            <w:tcBorders>
              <w:top w:val="single" w:sz="4" w:space="0" w:color="000000"/>
              <w:bottom w:val="single" w:sz="4" w:space="0" w:color="000000"/>
            </w:tcBorders>
          </w:tcPr>
          <w:p>
            <w:pPr>
              <w:pStyle w:val="TableParagraph"/>
              <w:rPr>
                <w:b/>
                <w:i/>
                <w:sz w:val="26"/>
              </w:rPr>
            </w:pPr>
          </w:p>
          <w:p>
            <w:pPr>
              <w:pStyle w:val="TableParagraph"/>
              <w:rPr>
                <w:b/>
                <w:i/>
                <w:sz w:val="26"/>
              </w:rPr>
            </w:pPr>
          </w:p>
          <w:p>
            <w:pPr>
              <w:pStyle w:val="TableParagraph"/>
              <w:spacing w:before="217"/>
              <w:ind w:left="245"/>
              <w:rPr>
                <w:sz w:val="24"/>
              </w:rPr>
            </w:pPr>
            <w:r>
              <w:rPr>
                <w:sz w:val="24"/>
              </w:rPr>
              <w:t>Α</w:t>
            </w:r>
          </w:p>
        </w:tc>
        <w:tc>
          <w:tcPr>
            <w:tcW w:w="1309" w:type="dxa"/>
            <w:tcBorders>
              <w:top w:val="single" w:sz="4" w:space="0" w:color="000000"/>
              <w:bottom w:val="single" w:sz="4" w:space="0" w:color="000000"/>
            </w:tcBorders>
          </w:tcPr>
          <w:p>
            <w:pPr>
              <w:pStyle w:val="TableParagraph"/>
              <w:rPr>
                <w:b/>
                <w:i/>
                <w:sz w:val="26"/>
              </w:rPr>
            </w:pPr>
          </w:p>
          <w:p>
            <w:pPr>
              <w:pStyle w:val="TableParagraph"/>
              <w:rPr>
                <w:b/>
                <w:i/>
                <w:sz w:val="26"/>
              </w:rPr>
            </w:pPr>
          </w:p>
          <w:p>
            <w:pPr>
              <w:pStyle w:val="TableParagraph"/>
              <w:spacing w:before="217"/>
              <w:ind w:left="408"/>
              <w:rPr>
                <w:sz w:val="24"/>
              </w:rPr>
            </w:pPr>
            <w:r>
              <w:rPr>
                <w:sz w:val="24"/>
              </w:rPr>
              <w:t>rho_A</w:t>
            </w:r>
          </w:p>
        </w:tc>
        <w:tc>
          <w:tcPr>
            <w:tcW w:w="1579" w:type="dxa"/>
            <w:tcBorders>
              <w:top w:val="single" w:sz="4" w:space="0" w:color="000000"/>
              <w:bottom w:val="single" w:sz="4" w:space="0" w:color="000000"/>
            </w:tcBorders>
          </w:tcPr>
          <w:p>
            <w:pPr>
              <w:pStyle w:val="TableParagraph"/>
              <w:spacing w:line="754" w:lineRule="exact" w:before="59"/>
              <w:ind w:left="292" w:right="226"/>
              <w:rPr>
                <w:sz w:val="24"/>
              </w:rPr>
            </w:pPr>
            <w:r>
              <w:rPr>
                <w:sz w:val="24"/>
              </w:rPr>
              <w:t>Composite Reliability</w:t>
            </w:r>
          </w:p>
        </w:tc>
        <w:tc>
          <w:tcPr>
            <w:tcW w:w="2091" w:type="dxa"/>
            <w:tcBorders>
              <w:top w:val="single" w:sz="4" w:space="0" w:color="000000"/>
              <w:bottom w:val="single" w:sz="4" w:space="0" w:color="000000"/>
            </w:tcBorders>
          </w:tcPr>
          <w:p>
            <w:pPr>
              <w:pStyle w:val="TableParagraph"/>
              <w:spacing w:before="6"/>
              <w:rPr>
                <w:b/>
                <w:i/>
                <w:sz w:val="29"/>
              </w:rPr>
            </w:pPr>
          </w:p>
          <w:p>
            <w:pPr>
              <w:pStyle w:val="TableParagraph"/>
              <w:spacing w:line="276" w:lineRule="auto"/>
              <w:ind w:left="252" w:right="186"/>
              <w:rPr>
                <w:sz w:val="24"/>
              </w:rPr>
            </w:pPr>
            <w:r>
              <w:rPr>
                <w:sz w:val="24"/>
              </w:rPr>
              <w:t>Average Variance Extracted (AVE)</w:t>
            </w:r>
          </w:p>
        </w:tc>
      </w:tr>
      <w:tr>
        <w:trPr>
          <w:trHeight w:val="425" w:hRule="atLeast"/>
        </w:trPr>
        <w:tc>
          <w:tcPr>
            <w:tcW w:w="897" w:type="dxa"/>
            <w:tcBorders>
              <w:top w:val="single" w:sz="4" w:space="0" w:color="000000"/>
            </w:tcBorders>
          </w:tcPr>
          <w:p>
            <w:pPr>
              <w:pStyle w:val="TableParagraph"/>
              <w:spacing w:before="64"/>
              <w:ind w:left="122"/>
              <w:rPr>
                <w:sz w:val="24"/>
              </w:rPr>
            </w:pPr>
            <w:r>
              <w:rPr>
                <w:sz w:val="24"/>
              </w:rPr>
              <w:t>LGS</w:t>
            </w:r>
          </w:p>
        </w:tc>
        <w:tc>
          <w:tcPr>
            <w:tcW w:w="1191" w:type="dxa"/>
            <w:tcBorders>
              <w:top w:val="single" w:sz="4" w:space="0" w:color="000000"/>
            </w:tcBorders>
          </w:tcPr>
          <w:p>
            <w:pPr>
              <w:pStyle w:val="TableParagraph"/>
              <w:spacing w:before="64"/>
              <w:ind w:left="245"/>
              <w:rPr>
                <w:sz w:val="24"/>
              </w:rPr>
            </w:pPr>
            <w:r>
              <w:rPr>
                <w:sz w:val="24"/>
              </w:rPr>
              <w:t>0.725</w:t>
            </w:r>
          </w:p>
        </w:tc>
        <w:tc>
          <w:tcPr>
            <w:tcW w:w="1309" w:type="dxa"/>
            <w:tcBorders>
              <w:top w:val="single" w:sz="4" w:space="0" w:color="000000"/>
            </w:tcBorders>
          </w:tcPr>
          <w:p>
            <w:pPr>
              <w:pStyle w:val="TableParagraph"/>
              <w:spacing w:before="64"/>
              <w:ind w:left="408"/>
              <w:rPr>
                <w:sz w:val="24"/>
              </w:rPr>
            </w:pPr>
            <w:r>
              <w:rPr>
                <w:sz w:val="24"/>
              </w:rPr>
              <w:t>0.750</w:t>
            </w:r>
          </w:p>
        </w:tc>
        <w:tc>
          <w:tcPr>
            <w:tcW w:w="1579" w:type="dxa"/>
            <w:tcBorders>
              <w:top w:val="single" w:sz="4" w:space="0" w:color="000000"/>
            </w:tcBorders>
          </w:tcPr>
          <w:p>
            <w:pPr>
              <w:pStyle w:val="TableParagraph"/>
              <w:spacing w:before="64"/>
              <w:ind w:left="292"/>
              <w:rPr>
                <w:sz w:val="24"/>
              </w:rPr>
            </w:pPr>
            <w:r>
              <w:rPr>
                <w:sz w:val="24"/>
              </w:rPr>
              <w:t>0.826</w:t>
            </w:r>
          </w:p>
        </w:tc>
        <w:tc>
          <w:tcPr>
            <w:tcW w:w="2091" w:type="dxa"/>
            <w:tcBorders>
              <w:top w:val="single" w:sz="4" w:space="0" w:color="000000"/>
            </w:tcBorders>
          </w:tcPr>
          <w:p>
            <w:pPr>
              <w:pStyle w:val="TableParagraph"/>
              <w:spacing w:before="64"/>
              <w:ind w:left="252"/>
              <w:rPr>
                <w:sz w:val="24"/>
              </w:rPr>
            </w:pPr>
            <w:r>
              <w:rPr>
                <w:sz w:val="24"/>
              </w:rPr>
              <w:t>0.545</w:t>
            </w:r>
          </w:p>
        </w:tc>
      </w:tr>
      <w:tr>
        <w:trPr>
          <w:trHeight w:val="436" w:hRule="atLeast"/>
        </w:trPr>
        <w:tc>
          <w:tcPr>
            <w:tcW w:w="897" w:type="dxa"/>
          </w:tcPr>
          <w:p>
            <w:pPr>
              <w:pStyle w:val="TableParagraph"/>
              <w:spacing w:before="75"/>
              <w:ind w:left="122"/>
              <w:rPr>
                <w:sz w:val="24"/>
              </w:rPr>
            </w:pPr>
            <w:r>
              <w:rPr>
                <w:sz w:val="24"/>
              </w:rPr>
              <w:t>OC</w:t>
            </w:r>
          </w:p>
        </w:tc>
        <w:tc>
          <w:tcPr>
            <w:tcW w:w="1191" w:type="dxa"/>
          </w:tcPr>
          <w:p>
            <w:pPr>
              <w:pStyle w:val="TableParagraph"/>
              <w:spacing w:before="75"/>
              <w:ind w:left="245"/>
              <w:rPr>
                <w:sz w:val="24"/>
              </w:rPr>
            </w:pPr>
            <w:r>
              <w:rPr>
                <w:sz w:val="24"/>
              </w:rPr>
              <w:t>0.731</w:t>
            </w:r>
          </w:p>
        </w:tc>
        <w:tc>
          <w:tcPr>
            <w:tcW w:w="1309" w:type="dxa"/>
          </w:tcPr>
          <w:p>
            <w:pPr>
              <w:pStyle w:val="TableParagraph"/>
              <w:spacing w:before="75"/>
              <w:ind w:left="408"/>
              <w:rPr>
                <w:sz w:val="24"/>
              </w:rPr>
            </w:pPr>
            <w:r>
              <w:rPr>
                <w:sz w:val="24"/>
              </w:rPr>
              <w:t>0.746</w:t>
            </w:r>
          </w:p>
        </w:tc>
        <w:tc>
          <w:tcPr>
            <w:tcW w:w="1579" w:type="dxa"/>
          </w:tcPr>
          <w:p>
            <w:pPr>
              <w:pStyle w:val="TableParagraph"/>
              <w:spacing w:before="75"/>
              <w:ind w:left="292"/>
              <w:rPr>
                <w:sz w:val="24"/>
              </w:rPr>
            </w:pPr>
            <w:r>
              <w:rPr>
                <w:sz w:val="24"/>
              </w:rPr>
              <w:t>0.848</w:t>
            </w:r>
          </w:p>
        </w:tc>
        <w:tc>
          <w:tcPr>
            <w:tcW w:w="2091" w:type="dxa"/>
          </w:tcPr>
          <w:p>
            <w:pPr>
              <w:pStyle w:val="TableParagraph"/>
              <w:spacing w:before="75"/>
              <w:ind w:left="252"/>
              <w:rPr>
                <w:sz w:val="24"/>
              </w:rPr>
            </w:pPr>
            <w:r>
              <w:rPr>
                <w:sz w:val="24"/>
              </w:rPr>
              <w:t>0.651</w:t>
            </w:r>
          </w:p>
        </w:tc>
      </w:tr>
      <w:tr>
        <w:trPr>
          <w:trHeight w:val="392" w:hRule="atLeast"/>
        </w:trPr>
        <w:tc>
          <w:tcPr>
            <w:tcW w:w="897" w:type="dxa"/>
            <w:tcBorders>
              <w:bottom w:val="single" w:sz="4" w:space="0" w:color="000000"/>
            </w:tcBorders>
          </w:tcPr>
          <w:p>
            <w:pPr>
              <w:pStyle w:val="TableParagraph"/>
              <w:spacing w:before="75"/>
              <w:ind w:left="122"/>
              <w:rPr>
                <w:sz w:val="24"/>
              </w:rPr>
            </w:pPr>
            <w:r>
              <w:rPr>
                <w:sz w:val="24"/>
              </w:rPr>
              <w:t>WIR</w:t>
            </w:r>
          </w:p>
        </w:tc>
        <w:tc>
          <w:tcPr>
            <w:tcW w:w="1191" w:type="dxa"/>
            <w:tcBorders>
              <w:bottom w:val="single" w:sz="4" w:space="0" w:color="000000"/>
            </w:tcBorders>
          </w:tcPr>
          <w:p>
            <w:pPr>
              <w:pStyle w:val="TableParagraph"/>
              <w:spacing w:before="75"/>
              <w:ind w:left="245"/>
              <w:rPr>
                <w:sz w:val="24"/>
              </w:rPr>
            </w:pPr>
            <w:r>
              <w:rPr>
                <w:sz w:val="24"/>
              </w:rPr>
              <w:t>0.766</w:t>
            </w:r>
          </w:p>
        </w:tc>
        <w:tc>
          <w:tcPr>
            <w:tcW w:w="1309" w:type="dxa"/>
            <w:tcBorders>
              <w:bottom w:val="single" w:sz="4" w:space="0" w:color="000000"/>
            </w:tcBorders>
          </w:tcPr>
          <w:p>
            <w:pPr>
              <w:pStyle w:val="TableParagraph"/>
              <w:spacing w:before="75"/>
              <w:ind w:left="408"/>
              <w:rPr>
                <w:sz w:val="24"/>
              </w:rPr>
            </w:pPr>
            <w:r>
              <w:rPr>
                <w:sz w:val="24"/>
              </w:rPr>
              <w:t>0.774</w:t>
            </w:r>
          </w:p>
        </w:tc>
        <w:tc>
          <w:tcPr>
            <w:tcW w:w="1579" w:type="dxa"/>
            <w:tcBorders>
              <w:bottom w:val="single" w:sz="4" w:space="0" w:color="000000"/>
            </w:tcBorders>
          </w:tcPr>
          <w:p>
            <w:pPr>
              <w:pStyle w:val="TableParagraph"/>
              <w:spacing w:before="75"/>
              <w:ind w:left="292"/>
              <w:rPr>
                <w:sz w:val="24"/>
              </w:rPr>
            </w:pPr>
            <w:r>
              <w:rPr>
                <w:sz w:val="24"/>
              </w:rPr>
              <w:t>0.851</w:t>
            </w:r>
          </w:p>
        </w:tc>
        <w:tc>
          <w:tcPr>
            <w:tcW w:w="2091" w:type="dxa"/>
            <w:tcBorders>
              <w:bottom w:val="single" w:sz="4" w:space="0" w:color="000000"/>
            </w:tcBorders>
          </w:tcPr>
          <w:p>
            <w:pPr>
              <w:pStyle w:val="TableParagraph"/>
              <w:spacing w:before="75"/>
              <w:ind w:left="252"/>
              <w:rPr>
                <w:sz w:val="24"/>
              </w:rPr>
            </w:pPr>
            <w:r>
              <w:rPr>
                <w:sz w:val="24"/>
              </w:rPr>
              <w:t>0.588</w:t>
            </w:r>
          </w:p>
        </w:tc>
      </w:tr>
    </w:tbl>
    <w:p>
      <w:pPr>
        <w:spacing w:line="278" w:lineRule="auto" w:before="119"/>
        <w:ind w:left="240" w:right="217" w:firstLine="0"/>
        <w:jc w:val="both"/>
        <w:rPr>
          <w:i/>
          <w:sz w:val="24"/>
        </w:rPr>
      </w:pPr>
      <w:r>
        <w:rPr>
          <w:i/>
          <w:sz w:val="24"/>
        </w:rPr>
        <w:t>Note. LGS=Lack of generational stereotypes; OC=Organizational </w:t>
      </w:r>
      <w:r>
        <w:rPr>
          <w:i/>
          <w:sz w:val="24"/>
        </w:rPr>
        <w:t>commitment; WIR=Workplace intergenerational retention.</w:t>
      </w:r>
    </w:p>
    <w:p>
      <w:pPr>
        <w:pStyle w:val="BodyText"/>
        <w:spacing w:line="276" w:lineRule="auto" w:before="116"/>
        <w:ind w:left="240" w:right="215"/>
        <w:jc w:val="both"/>
      </w:pPr>
      <w:r>
        <w:rPr/>
        <w:t>The vales of Cronbach’s Alpha show the reliability of the scale. Greater or equal to .80 are considered good and greater to .70 are acceptable. The table has shown the values of Cronbach’s Alpha of LGS (0.72, OC (0.73) and WIR (0.76) which are reliable. moreover the result of composite reliability also can be seen in the table. Composite reliability is alternative to Cronbach’s Alpha because Cronbach’s alpha can over or underestimates the scale reliability. Values of composite reliability vary from 0 to 1. Should be greater than or equal to .6(Lafayette, 2006). For confirmatory purposes it should be equal or greater than .70 (Henseler et al., 2016). And it should be consider good for confirmatory research when it is greater or equal to .80. The table has shown that all values of composite reliability relies .80 to .86 which are good for model fit.Furthermore average variance extracted (AVE) may be used both for divergent and convergent validity. AVE should be greater than .5 (Lafayette,</w:t>
      </w:r>
      <w:r>
        <w:rPr>
          <w:spacing w:val="27"/>
        </w:rPr>
        <w:t> </w:t>
      </w:r>
      <w:r>
        <w:rPr/>
        <w:t>2006).</w:t>
      </w:r>
    </w:p>
    <w:p>
      <w:pPr>
        <w:spacing w:line="276" w:lineRule="exact" w:before="0" w:after="44"/>
        <w:ind w:left="2401" w:right="0" w:firstLine="0"/>
        <w:jc w:val="both"/>
        <w:rPr>
          <w:b/>
          <w:i/>
          <w:sz w:val="24"/>
        </w:rPr>
      </w:pPr>
      <w:r>
        <w:rPr>
          <w:b/>
          <w:sz w:val="24"/>
        </w:rPr>
        <w:t>TABLE 8 </w:t>
      </w:r>
      <w:r>
        <w:rPr>
          <w:b/>
          <w:i/>
          <w:sz w:val="24"/>
        </w:rPr>
        <w:t>Path coefficient</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1"/>
        <w:gridCol w:w="1144"/>
        <w:gridCol w:w="1142"/>
        <w:gridCol w:w="1297"/>
        <w:gridCol w:w="1569"/>
        <w:gridCol w:w="979"/>
      </w:tblGrid>
      <w:tr>
        <w:trPr>
          <w:trHeight w:val="1072" w:hRule="atLeast"/>
        </w:trPr>
        <w:tc>
          <w:tcPr>
            <w:tcW w:w="941" w:type="dxa"/>
            <w:tcBorders>
              <w:top w:val="single" w:sz="4" w:space="0" w:color="000000"/>
              <w:bottom w:val="single" w:sz="4" w:space="0" w:color="000000"/>
            </w:tcBorders>
          </w:tcPr>
          <w:p>
            <w:pPr>
              <w:pStyle w:val="TableParagraph"/>
              <w:spacing w:before="119"/>
              <w:ind w:left="122"/>
              <w:rPr>
                <w:sz w:val="24"/>
              </w:rPr>
            </w:pPr>
            <w:r>
              <w:rPr>
                <w:sz w:val="24"/>
              </w:rPr>
              <w:t>Items</w:t>
            </w:r>
          </w:p>
        </w:tc>
        <w:tc>
          <w:tcPr>
            <w:tcW w:w="1144" w:type="dxa"/>
            <w:tcBorders>
              <w:top w:val="single" w:sz="4" w:space="0" w:color="000000"/>
              <w:bottom w:val="single" w:sz="4" w:space="0" w:color="000000"/>
            </w:tcBorders>
          </w:tcPr>
          <w:p>
            <w:pPr>
              <w:pStyle w:val="TableParagraph"/>
              <w:spacing w:line="318" w:lineRule="exact" w:before="88"/>
              <w:ind w:left="107" w:right="217"/>
              <w:rPr>
                <w:sz w:val="24"/>
              </w:rPr>
            </w:pPr>
            <w:r>
              <w:rPr>
                <w:sz w:val="24"/>
              </w:rPr>
              <w:t>Original Sample (O)</w:t>
            </w:r>
          </w:p>
        </w:tc>
        <w:tc>
          <w:tcPr>
            <w:tcW w:w="1142" w:type="dxa"/>
            <w:tcBorders>
              <w:top w:val="single" w:sz="4" w:space="0" w:color="000000"/>
              <w:bottom w:val="single" w:sz="4" w:space="0" w:color="000000"/>
            </w:tcBorders>
          </w:tcPr>
          <w:p>
            <w:pPr>
              <w:pStyle w:val="TableParagraph"/>
              <w:spacing w:line="318" w:lineRule="exact" w:before="88"/>
              <w:ind w:left="238" w:right="164"/>
              <w:rPr>
                <w:sz w:val="24"/>
              </w:rPr>
            </w:pPr>
            <w:r>
              <w:rPr>
                <w:sz w:val="24"/>
              </w:rPr>
              <w:t>Sample Mean (M)</w:t>
            </w:r>
          </w:p>
        </w:tc>
        <w:tc>
          <w:tcPr>
            <w:tcW w:w="1297" w:type="dxa"/>
            <w:tcBorders>
              <w:top w:val="single" w:sz="4" w:space="0" w:color="000000"/>
              <w:bottom w:val="single" w:sz="4" w:space="0" w:color="000000"/>
            </w:tcBorders>
          </w:tcPr>
          <w:p>
            <w:pPr>
              <w:pStyle w:val="TableParagraph"/>
              <w:spacing w:line="318" w:lineRule="exact" w:before="88"/>
              <w:ind w:left="184" w:right="146"/>
              <w:rPr>
                <w:sz w:val="24"/>
              </w:rPr>
            </w:pPr>
            <w:r>
              <w:rPr>
                <w:sz w:val="24"/>
              </w:rPr>
              <w:t>Standard Deviation (STDEV)</w:t>
            </w:r>
          </w:p>
        </w:tc>
        <w:tc>
          <w:tcPr>
            <w:tcW w:w="1569" w:type="dxa"/>
            <w:tcBorders>
              <w:top w:val="single" w:sz="4" w:space="0" w:color="000000"/>
              <w:bottom w:val="single" w:sz="4" w:space="0" w:color="000000"/>
            </w:tcBorders>
          </w:tcPr>
          <w:p>
            <w:pPr>
              <w:pStyle w:val="TableParagraph"/>
              <w:spacing w:before="1"/>
              <w:rPr>
                <w:b/>
                <w:i/>
                <w:sz w:val="24"/>
              </w:rPr>
            </w:pPr>
          </w:p>
          <w:p>
            <w:pPr>
              <w:pStyle w:val="TableParagraph"/>
              <w:tabs>
                <w:tab w:pos="593" w:val="left" w:leader="none"/>
              </w:tabs>
              <w:spacing w:line="276" w:lineRule="auto"/>
              <w:ind w:left="168" w:right="105"/>
              <w:rPr>
                <w:sz w:val="24"/>
              </w:rPr>
            </w:pPr>
            <w:r>
              <w:rPr>
                <w:sz w:val="24"/>
              </w:rPr>
              <w:t>T</w:t>
              <w:tab/>
            </w:r>
            <w:r>
              <w:rPr>
                <w:spacing w:val="-1"/>
                <w:sz w:val="24"/>
              </w:rPr>
              <w:t>Statistics </w:t>
            </w:r>
            <w:r>
              <w:rPr>
                <w:sz w:val="24"/>
              </w:rPr>
              <w:t>(|O/STDEV|)</w:t>
            </w:r>
          </w:p>
        </w:tc>
        <w:tc>
          <w:tcPr>
            <w:tcW w:w="979" w:type="dxa"/>
            <w:tcBorders>
              <w:top w:val="single" w:sz="4" w:space="0" w:color="000000"/>
              <w:bottom w:val="single" w:sz="4" w:space="0" w:color="000000"/>
            </w:tcBorders>
          </w:tcPr>
          <w:p>
            <w:pPr>
              <w:pStyle w:val="TableParagraph"/>
              <w:spacing w:before="1"/>
              <w:rPr>
                <w:b/>
                <w:i/>
                <w:sz w:val="24"/>
              </w:rPr>
            </w:pPr>
          </w:p>
          <w:p>
            <w:pPr>
              <w:pStyle w:val="TableParagraph"/>
              <w:ind w:left="107"/>
              <w:rPr>
                <w:sz w:val="24"/>
              </w:rPr>
            </w:pPr>
            <w:r>
              <w:rPr>
                <w:w w:val="99"/>
                <w:sz w:val="24"/>
              </w:rPr>
              <w:t>P</w:t>
            </w:r>
          </w:p>
          <w:p>
            <w:pPr>
              <w:pStyle w:val="TableParagraph"/>
              <w:spacing w:before="41"/>
              <w:ind w:left="107"/>
              <w:rPr>
                <w:sz w:val="24"/>
              </w:rPr>
            </w:pPr>
            <w:r>
              <w:rPr>
                <w:sz w:val="24"/>
              </w:rPr>
              <w:t>Values</w:t>
            </w:r>
          </w:p>
        </w:tc>
      </w:tr>
      <w:tr>
        <w:trPr>
          <w:trHeight w:val="436" w:hRule="atLeast"/>
        </w:trPr>
        <w:tc>
          <w:tcPr>
            <w:tcW w:w="941" w:type="dxa"/>
            <w:tcBorders>
              <w:top w:val="single" w:sz="4" w:space="0" w:color="000000"/>
              <w:bottom w:val="single" w:sz="4" w:space="0" w:color="000000"/>
            </w:tcBorders>
          </w:tcPr>
          <w:p>
            <w:pPr>
              <w:pStyle w:val="TableParagraph"/>
              <w:spacing w:before="119"/>
              <w:ind w:left="122"/>
              <w:rPr>
                <w:sz w:val="24"/>
              </w:rPr>
            </w:pPr>
            <w:r>
              <w:rPr>
                <w:sz w:val="24"/>
              </w:rPr>
              <w:t>LGS</w:t>
            </w:r>
            <w:r>
              <w:rPr>
                <w:spacing w:val="57"/>
                <w:sz w:val="24"/>
              </w:rPr>
              <w:t> </w:t>
            </w:r>
            <w:r>
              <w:rPr>
                <w:sz w:val="24"/>
              </w:rPr>
              <w:t>-</w:t>
            </w:r>
          </w:p>
        </w:tc>
        <w:tc>
          <w:tcPr>
            <w:tcW w:w="1144" w:type="dxa"/>
            <w:tcBorders>
              <w:top w:val="single" w:sz="4" w:space="0" w:color="000000"/>
              <w:bottom w:val="single" w:sz="4" w:space="0" w:color="000000"/>
            </w:tcBorders>
          </w:tcPr>
          <w:p>
            <w:pPr>
              <w:pStyle w:val="TableParagraph"/>
              <w:spacing w:before="119"/>
              <w:ind w:left="107"/>
              <w:rPr>
                <w:sz w:val="24"/>
              </w:rPr>
            </w:pPr>
            <w:r>
              <w:rPr>
                <w:sz w:val="24"/>
              </w:rPr>
              <w:t>0.139</w:t>
            </w:r>
          </w:p>
        </w:tc>
        <w:tc>
          <w:tcPr>
            <w:tcW w:w="1142" w:type="dxa"/>
            <w:tcBorders>
              <w:top w:val="single" w:sz="4" w:space="0" w:color="000000"/>
              <w:bottom w:val="single" w:sz="4" w:space="0" w:color="000000"/>
            </w:tcBorders>
          </w:tcPr>
          <w:p>
            <w:pPr>
              <w:pStyle w:val="TableParagraph"/>
              <w:spacing w:before="119"/>
              <w:ind w:left="238"/>
              <w:rPr>
                <w:sz w:val="24"/>
              </w:rPr>
            </w:pPr>
            <w:r>
              <w:rPr>
                <w:sz w:val="24"/>
              </w:rPr>
              <w:t>0.143</w:t>
            </w:r>
          </w:p>
        </w:tc>
        <w:tc>
          <w:tcPr>
            <w:tcW w:w="1297" w:type="dxa"/>
            <w:tcBorders>
              <w:top w:val="single" w:sz="4" w:space="0" w:color="000000"/>
              <w:bottom w:val="single" w:sz="4" w:space="0" w:color="000000"/>
            </w:tcBorders>
          </w:tcPr>
          <w:p>
            <w:pPr>
              <w:pStyle w:val="TableParagraph"/>
              <w:spacing w:before="119"/>
              <w:ind w:left="184"/>
              <w:rPr>
                <w:sz w:val="24"/>
              </w:rPr>
            </w:pPr>
            <w:r>
              <w:rPr>
                <w:sz w:val="24"/>
              </w:rPr>
              <w:t>0.068</w:t>
            </w:r>
          </w:p>
        </w:tc>
        <w:tc>
          <w:tcPr>
            <w:tcW w:w="1569" w:type="dxa"/>
            <w:tcBorders>
              <w:top w:val="single" w:sz="4" w:space="0" w:color="000000"/>
              <w:bottom w:val="single" w:sz="4" w:space="0" w:color="000000"/>
            </w:tcBorders>
          </w:tcPr>
          <w:p>
            <w:pPr>
              <w:pStyle w:val="TableParagraph"/>
              <w:spacing w:before="119"/>
              <w:ind w:left="168"/>
              <w:rPr>
                <w:sz w:val="24"/>
              </w:rPr>
            </w:pPr>
            <w:r>
              <w:rPr>
                <w:sz w:val="24"/>
              </w:rPr>
              <w:t>2.036</w:t>
            </w:r>
          </w:p>
        </w:tc>
        <w:tc>
          <w:tcPr>
            <w:tcW w:w="979" w:type="dxa"/>
            <w:tcBorders>
              <w:top w:val="single" w:sz="4" w:space="0" w:color="000000"/>
              <w:bottom w:val="single" w:sz="4" w:space="0" w:color="000000"/>
            </w:tcBorders>
          </w:tcPr>
          <w:p>
            <w:pPr>
              <w:pStyle w:val="TableParagraph"/>
              <w:spacing w:before="119"/>
              <w:ind w:left="107"/>
              <w:rPr>
                <w:sz w:val="24"/>
              </w:rPr>
            </w:pPr>
            <w:r>
              <w:rPr>
                <w:color w:val="008000"/>
                <w:sz w:val="24"/>
              </w:rPr>
              <w:t>0.042</w:t>
            </w:r>
          </w:p>
        </w:tc>
      </w:tr>
    </w:tbl>
    <w:p>
      <w:pPr>
        <w:pStyle w:val="BodyText"/>
        <w:spacing w:before="8"/>
        <w:rPr>
          <w:b/>
          <w:i/>
          <w:sz w:val="23"/>
        </w:rPr>
      </w:pPr>
    </w:p>
    <w:p>
      <w:pPr>
        <w:spacing w:before="0"/>
        <w:ind w:left="225" w:right="203" w:firstLine="0"/>
        <w:jc w:val="center"/>
        <w:rPr>
          <w:rFonts w:ascii="Carlito"/>
          <w:sz w:val="22"/>
        </w:rPr>
      </w:pPr>
      <w:r>
        <w:rPr>
          <w:rFonts w:ascii="Carlito"/>
          <w:sz w:val="22"/>
        </w:rPr>
        <w:t>14</w:t>
      </w:r>
    </w:p>
    <w:p>
      <w:pPr>
        <w:spacing w:after="0"/>
        <w:jc w:val="center"/>
        <w:rPr>
          <w:rFonts w:ascii="Carlito"/>
          <w:sz w:val="22"/>
        </w:rPr>
        <w:sectPr>
          <w:pgSz w:w="9000" w:h="14040"/>
          <w:pgMar w:top="680" w:bottom="280" w:left="840" w:right="860"/>
        </w:sectPr>
      </w:pPr>
    </w:p>
    <w:p>
      <w:pPr>
        <w:tabs>
          <w:tab w:pos="4887" w:val="left" w:leader="none"/>
        </w:tabs>
        <w:spacing w:before="39"/>
        <w:ind w:left="240" w:right="0" w:firstLine="0"/>
        <w:jc w:val="both"/>
        <w:rPr>
          <w:rFonts w:ascii="Carlito"/>
          <w:b/>
          <w:sz w:val="22"/>
        </w:rPr>
      </w:pPr>
      <w:r>
        <w:rPr>
          <w:rFonts w:ascii="Carlito"/>
          <w:b/>
          <w:sz w:val="22"/>
        </w:rPr>
        <w:t>Kan</w:t>
      </w:r>
      <w:r>
        <w:rPr>
          <w:rFonts w:ascii="Carlito"/>
          <w:b/>
          <w:spacing w:val="-2"/>
          <w:sz w:val="22"/>
        </w:rPr>
        <w:t> </w:t>
      </w:r>
      <w:r>
        <w:rPr>
          <w:rFonts w:ascii="Carlito"/>
          <w:b/>
          <w:sz w:val="22"/>
        </w:rPr>
        <w:t>&amp;</w:t>
      </w:r>
      <w:r>
        <w:rPr>
          <w:rFonts w:ascii="Carlito"/>
          <w:b/>
          <w:spacing w:val="1"/>
          <w:sz w:val="22"/>
        </w:rPr>
        <w:t> </w:t>
      </w:r>
      <w:r>
        <w:rPr>
          <w:rFonts w:ascii="Carlito"/>
          <w:b/>
          <w:sz w:val="22"/>
        </w:rPr>
        <w:t>Gul</w:t>
        <w:tab/>
      </w:r>
      <w:r>
        <w:rPr>
          <w:rFonts w:ascii="Carlito"/>
          <w:b/>
          <w:i/>
          <w:sz w:val="22"/>
        </w:rPr>
        <w:t>JSS</w:t>
      </w:r>
      <w:r>
        <w:rPr>
          <w:rFonts w:ascii="Carlito"/>
          <w:b/>
          <w:sz w:val="22"/>
        </w:rPr>
        <w:t>, Vol.11, No. 1</w:t>
      </w:r>
      <w:r>
        <w:rPr>
          <w:rFonts w:ascii="Carlito"/>
          <w:b/>
          <w:spacing w:val="-8"/>
          <w:sz w:val="22"/>
        </w:rPr>
        <w:t> </w:t>
      </w:r>
      <w:r>
        <w:rPr>
          <w:rFonts w:ascii="Carlito"/>
          <w:b/>
          <w:sz w:val="22"/>
        </w:rPr>
        <w:t>(2020)</w:t>
      </w:r>
    </w:p>
    <w:p>
      <w:pPr>
        <w:pStyle w:val="BodyText"/>
        <w:spacing w:before="1" w:after="1"/>
        <w:rPr>
          <w:rFonts w:ascii="Carlito"/>
          <w:b/>
          <w:sz w:val="22"/>
        </w:rPr>
      </w:pPr>
    </w:p>
    <w:tbl>
      <w:tblPr>
        <w:tblW w:w="0" w:type="auto"/>
        <w:jc w:val="left"/>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8"/>
        <w:gridCol w:w="1016"/>
        <w:gridCol w:w="1182"/>
        <w:gridCol w:w="1185"/>
        <w:gridCol w:w="1455"/>
        <w:gridCol w:w="1296"/>
      </w:tblGrid>
      <w:tr>
        <w:trPr>
          <w:trHeight w:val="360" w:hRule="atLeast"/>
        </w:trPr>
        <w:tc>
          <w:tcPr>
            <w:tcW w:w="938" w:type="dxa"/>
            <w:tcBorders>
              <w:top w:val="single" w:sz="4" w:space="0" w:color="000000"/>
            </w:tcBorders>
          </w:tcPr>
          <w:p>
            <w:pPr>
              <w:pStyle w:val="TableParagraph"/>
              <w:spacing w:line="275" w:lineRule="exact"/>
              <w:ind w:left="118"/>
              <w:rPr>
                <w:sz w:val="24"/>
              </w:rPr>
            </w:pPr>
            <w:r>
              <w:rPr>
                <w:sz w:val="24"/>
              </w:rPr>
              <w:t>&gt; OC</w:t>
            </w:r>
          </w:p>
        </w:tc>
        <w:tc>
          <w:tcPr>
            <w:tcW w:w="1016" w:type="dxa"/>
            <w:tcBorders>
              <w:top w:val="single" w:sz="4" w:space="0" w:color="000000"/>
            </w:tcBorders>
          </w:tcPr>
          <w:p>
            <w:pPr>
              <w:pStyle w:val="TableParagraph"/>
              <w:rPr>
                <w:sz w:val="24"/>
              </w:rPr>
            </w:pPr>
          </w:p>
        </w:tc>
        <w:tc>
          <w:tcPr>
            <w:tcW w:w="1182" w:type="dxa"/>
            <w:tcBorders>
              <w:top w:val="single" w:sz="4" w:space="0" w:color="000000"/>
            </w:tcBorders>
          </w:tcPr>
          <w:p>
            <w:pPr>
              <w:pStyle w:val="TableParagraph"/>
              <w:rPr>
                <w:sz w:val="24"/>
              </w:rPr>
            </w:pPr>
          </w:p>
        </w:tc>
        <w:tc>
          <w:tcPr>
            <w:tcW w:w="1185" w:type="dxa"/>
            <w:tcBorders>
              <w:top w:val="single" w:sz="4" w:space="0" w:color="000000"/>
            </w:tcBorders>
          </w:tcPr>
          <w:p>
            <w:pPr>
              <w:pStyle w:val="TableParagraph"/>
              <w:rPr>
                <w:sz w:val="24"/>
              </w:rPr>
            </w:pPr>
          </w:p>
        </w:tc>
        <w:tc>
          <w:tcPr>
            <w:tcW w:w="1455" w:type="dxa"/>
            <w:tcBorders>
              <w:top w:val="single" w:sz="4" w:space="0" w:color="000000"/>
            </w:tcBorders>
          </w:tcPr>
          <w:p>
            <w:pPr>
              <w:pStyle w:val="TableParagraph"/>
              <w:rPr>
                <w:sz w:val="24"/>
              </w:rPr>
            </w:pPr>
          </w:p>
        </w:tc>
        <w:tc>
          <w:tcPr>
            <w:tcW w:w="1296" w:type="dxa"/>
            <w:tcBorders>
              <w:top w:val="single" w:sz="4" w:space="0" w:color="000000"/>
            </w:tcBorders>
          </w:tcPr>
          <w:p>
            <w:pPr>
              <w:pStyle w:val="TableParagraph"/>
              <w:rPr>
                <w:sz w:val="24"/>
              </w:rPr>
            </w:pPr>
          </w:p>
        </w:tc>
      </w:tr>
      <w:tr>
        <w:trPr>
          <w:trHeight w:val="754" w:hRule="atLeast"/>
        </w:trPr>
        <w:tc>
          <w:tcPr>
            <w:tcW w:w="938" w:type="dxa"/>
          </w:tcPr>
          <w:p>
            <w:pPr>
              <w:pStyle w:val="TableParagraph"/>
              <w:spacing w:before="75"/>
              <w:ind w:left="118"/>
              <w:rPr>
                <w:sz w:val="24"/>
              </w:rPr>
            </w:pPr>
            <w:r>
              <w:rPr>
                <w:sz w:val="24"/>
              </w:rPr>
              <w:t>LGS</w:t>
            </w:r>
            <w:r>
              <w:rPr>
                <w:spacing w:val="57"/>
                <w:sz w:val="24"/>
              </w:rPr>
              <w:t> </w:t>
            </w:r>
            <w:r>
              <w:rPr>
                <w:sz w:val="24"/>
              </w:rPr>
              <w:t>-</w:t>
            </w:r>
          </w:p>
          <w:p>
            <w:pPr>
              <w:pStyle w:val="TableParagraph"/>
              <w:spacing w:before="41"/>
              <w:ind w:left="118"/>
              <w:rPr>
                <w:sz w:val="24"/>
              </w:rPr>
            </w:pPr>
            <w:r>
              <w:rPr>
                <w:sz w:val="24"/>
              </w:rPr>
              <w:t>&gt; WIR</w:t>
            </w:r>
          </w:p>
        </w:tc>
        <w:tc>
          <w:tcPr>
            <w:tcW w:w="1016" w:type="dxa"/>
          </w:tcPr>
          <w:p>
            <w:pPr>
              <w:pStyle w:val="TableParagraph"/>
              <w:spacing w:before="233"/>
              <w:ind w:left="107"/>
              <w:rPr>
                <w:sz w:val="24"/>
              </w:rPr>
            </w:pPr>
            <w:r>
              <w:rPr>
                <w:sz w:val="24"/>
              </w:rPr>
              <w:t>0.620</w:t>
            </w:r>
          </w:p>
        </w:tc>
        <w:tc>
          <w:tcPr>
            <w:tcW w:w="1182" w:type="dxa"/>
          </w:tcPr>
          <w:p>
            <w:pPr>
              <w:pStyle w:val="TableParagraph"/>
              <w:spacing w:before="233"/>
              <w:ind w:right="273"/>
              <w:jc w:val="right"/>
              <w:rPr>
                <w:sz w:val="24"/>
              </w:rPr>
            </w:pPr>
            <w:r>
              <w:rPr>
                <w:sz w:val="24"/>
              </w:rPr>
              <w:t>0.626</w:t>
            </w:r>
          </w:p>
        </w:tc>
        <w:tc>
          <w:tcPr>
            <w:tcW w:w="1185" w:type="dxa"/>
          </w:tcPr>
          <w:p>
            <w:pPr>
              <w:pStyle w:val="TableParagraph"/>
              <w:spacing w:before="233"/>
              <w:ind w:left="271"/>
              <w:rPr>
                <w:sz w:val="24"/>
              </w:rPr>
            </w:pPr>
            <w:r>
              <w:rPr>
                <w:sz w:val="24"/>
              </w:rPr>
              <w:t>0.048</w:t>
            </w:r>
          </w:p>
        </w:tc>
        <w:tc>
          <w:tcPr>
            <w:tcW w:w="1455" w:type="dxa"/>
          </w:tcPr>
          <w:p>
            <w:pPr>
              <w:pStyle w:val="TableParagraph"/>
              <w:spacing w:before="233"/>
              <w:ind w:left="349" w:right="405"/>
              <w:jc w:val="center"/>
              <w:rPr>
                <w:sz w:val="24"/>
              </w:rPr>
            </w:pPr>
            <w:r>
              <w:rPr>
                <w:sz w:val="24"/>
              </w:rPr>
              <w:t>12.869</w:t>
            </w:r>
          </w:p>
        </w:tc>
        <w:tc>
          <w:tcPr>
            <w:tcW w:w="1296" w:type="dxa"/>
          </w:tcPr>
          <w:p>
            <w:pPr>
              <w:pStyle w:val="TableParagraph"/>
              <w:spacing w:before="233"/>
              <w:ind w:right="332"/>
              <w:jc w:val="right"/>
              <w:rPr>
                <w:sz w:val="24"/>
              </w:rPr>
            </w:pPr>
            <w:r>
              <w:rPr>
                <w:color w:val="008000"/>
                <w:sz w:val="24"/>
              </w:rPr>
              <w:t>0.000</w:t>
            </w:r>
          </w:p>
        </w:tc>
      </w:tr>
      <w:tr>
        <w:trPr>
          <w:trHeight w:val="710" w:hRule="atLeast"/>
        </w:trPr>
        <w:tc>
          <w:tcPr>
            <w:tcW w:w="938" w:type="dxa"/>
            <w:tcBorders>
              <w:bottom w:val="single" w:sz="4" w:space="0" w:color="000000"/>
            </w:tcBorders>
          </w:tcPr>
          <w:p>
            <w:pPr>
              <w:pStyle w:val="TableParagraph"/>
              <w:spacing w:line="310" w:lineRule="atLeast" w:before="42"/>
              <w:ind w:left="118"/>
              <w:rPr>
                <w:sz w:val="24"/>
              </w:rPr>
            </w:pPr>
            <w:r>
              <w:rPr>
                <w:sz w:val="24"/>
              </w:rPr>
              <w:t>OC -&gt; WIR</w:t>
            </w:r>
          </w:p>
        </w:tc>
        <w:tc>
          <w:tcPr>
            <w:tcW w:w="1016" w:type="dxa"/>
            <w:tcBorders>
              <w:bottom w:val="single" w:sz="4" w:space="0" w:color="000000"/>
            </w:tcBorders>
          </w:tcPr>
          <w:p>
            <w:pPr>
              <w:pStyle w:val="TableParagraph"/>
              <w:spacing w:before="2"/>
              <w:rPr>
                <w:rFonts w:ascii="Carlito"/>
                <w:b/>
                <w:sz w:val="19"/>
              </w:rPr>
            </w:pPr>
          </w:p>
          <w:p>
            <w:pPr>
              <w:pStyle w:val="TableParagraph"/>
              <w:spacing w:before="1"/>
              <w:ind w:left="107"/>
              <w:rPr>
                <w:sz w:val="24"/>
              </w:rPr>
            </w:pPr>
            <w:r>
              <w:rPr>
                <w:sz w:val="24"/>
              </w:rPr>
              <w:t>0.193</w:t>
            </w:r>
          </w:p>
        </w:tc>
        <w:tc>
          <w:tcPr>
            <w:tcW w:w="1182" w:type="dxa"/>
            <w:tcBorders>
              <w:bottom w:val="single" w:sz="4" w:space="0" w:color="000000"/>
            </w:tcBorders>
          </w:tcPr>
          <w:p>
            <w:pPr>
              <w:pStyle w:val="TableParagraph"/>
              <w:spacing w:before="2"/>
              <w:rPr>
                <w:rFonts w:ascii="Carlito"/>
                <w:b/>
                <w:sz w:val="19"/>
              </w:rPr>
            </w:pPr>
          </w:p>
          <w:p>
            <w:pPr>
              <w:pStyle w:val="TableParagraph"/>
              <w:spacing w:before="1"/>
              <w:ind w:right="273"/>
              <w:jc w:val="right"/>
              <w:rPr>
                <w:sz w:val="24"/>
              </w:rPr>
            </w:pPr>
            <w:r>
              <w:rPr>
                <w:sz w:val="24"/>
              </w:rPr>
              <w:t>0.195</w:t>
            </w:r>
          </w:p>
        </w:tc>
        <w:tc>
          <w:tcPr>
            <w:tcW w:w="1185" w:type="dxa"/>
            <w:tcBorders>
              <w:bottom w:val="single" w:sz="4" w:space="0" w:color="000000"/>
            </w:tcBorders>
          </w:tcPr>
          <w:p>
            <w:pPr>
              <w:pStyle w:val="TableParagraph"/>
              <w:spacing w:before="2"/>
              <w:rPr>
                <w:rFonts w:ascii="Carlito"/>
                <w:b/>
                <w:sz w:val="19"/>
              </w:rPr>
            </w:pPr>
          </w:p>
          <w:p>
            <w:pPr>
              <w:pStyle w:val="TableParagraph"/>
              <w:spacing w:before="1"/>
              <w:ind w:left="271"/>
              <w:rPr>
                <w:sz w:val="24"/>
              </w:rPr>
            </w:pPr>
            <w:r>
              <w:rPr>
                <w:sz w:val="24"/>
              </w:rPr>
              <w:t>0.051</w:t>
            </w:r>
          </w:p>
        </w:tc>
        <w:tc>
          <w:tcPr>
            <w:tcW w:w="1455" w:type="dxa"/>
            <w:tcBorders>
              <w:bottom w:val="single" w:sz="4" w:space="0" w:color="000000"/>
            </w:tcBorders>
          </w:tcPr>
          <w:p>
            <w:pPr>
              <w:pStyle w:val="TableParagraph"/>
              <w:spacing w:before="2"/>
              <w:rPr>
                <w:rFonts w:ascii="Carlito"/>
                <w:b/>
                <w:sz w:val="19"/>
              </w:rPr>
            </w:pPr>
          </w:p>
          <w:p>
            <w:pPr>
              <w:pStyle w:val="TableParagraph"/>
              <w:spacing w:before="1"/>
              <w:ind w:left="229" w:right="405"/>
              <w:jc w:val="center"/>
              <w:rPr>
                <w:sz w:val="24"/>
              </w:rPr>
            </w:pPr>
            <w:r>
              <w:rPr>
                <w:sz w:val="24"/>
              </w:rPr>
              <w:t>3.787</w:t>
            </w:r>
          </w:p>
        </w:tc>
        <w:tc>
          <w:tcPr>
            <w:tcW w:w="1296" w:type="dxa"/>
            <w:tcBorders>
              <w:bottom w:val="single" w:sz="4" w:space="0" w:color="000000"/>
            </w:tcBorders>
          </w:tcPr>
          <w:p>
            <w:pPr>
              <w:pStyle w:val="TableParagraph"/>
              <w:spacing w:before="2"/>
              <w:rPr>
                <w:rFonts w:ascii="Carlito"/>
                <w:b/>
                <w:sz w:val="19"/>
              </w:rPr>
            </w:pPr>
          </w:p>
          <w:p>
            <w:pPr>
              <w:pStyle w:val="TableParagraph"/>
              <w:spacing w:before="1"/>
              <w:ind w:right="332"/>
              <w:jc w:val="right"/>
              <w:rPr>
                <w:sz w:val="24"/>
              </w:rPr>
            </w:pPr>
            <w:r>
              <w:rPr>
                <w:color w:val="008000"/>
                <w:sz w:val="24"/>
              </w:rPr>
              <w:t>0.000</w:t>
            </w:r>
          </w:p>
        </w:tc>
      </w:tr>
    </w:tbl>
    <w:p>
      <w:pPr>
        <w:spacing w:line="278" w:lineRule="auto" w:before="119"/>
        <w:ind w:left="240" w:right="219" w:firstLine="0"/>
        <w:jc w:val="both"/>
        <w:rPr>
          <w:i/>
          <w:sz w:val="24"/>
        </w:rPr>
      </w:pPr>
      <w:r>
        <w:rPr>
          <w:i/>
          <w:sz w:val="24"/>
        </w:rPr>
        <w:t>Note. LGS=Lack of generational stereotypes; OC=Organizational </w:t>
      </w:r>
      <w:r>
        <w:rPr>
          <w:i/>
          <w:sz w:val="24"/>
        </w:rPr>
        <w:t>commitment; WIR=Workplace intergenerational retention.</w:t>
      </w:r>
    </w:p>
    <w:p>
      <w:pPr>
        <w:pStyle w:val="BodyText"/>
        <w:spacing w:line="276" w:lineRule="auto" w:before="116"/>
        <w:ind w:left="240" w:right="221"/>
        <w:jc w:val="both"/>
      </w:pPr>
      <w:r>
        <w:rPr/>
        <w:t>All t values above 1.96 and to get probability level p values should be less than .045 are significant the table has shown the level of p and t values at the significant level.</w:t>
      </w:r>
    </w:p>
    <w:p>
      <w:pPr>
        <w:pStyle w:val="Heading1"/>
        <w:numPr>
          <w:ilvl w:val="0"/>
          <w:numId w:val="1"/>
        </w:numPr>
        <w:tabs>
          <w:tab w:pos="546" w:val="left" w:leader="none"/>
        </w:tabs>
        <w:spacing w:line="240" w:lineRule="auto" w:before="122" w:after="0"/>
        <w:ind w:left="545" w:right="0" w:hanging="306"/>
        <w:jc w:val="both"/>
      </w:pPr>
      <w:r>
        <w:rPr/>
        <w:t>Discussions</w:t>
      </w:r>
    </w:p>
    <w:p>
      <w:pPr>
        <w:pStyle w:val="BodyText"/>
        <w:spacing w:line="276" w:lineRule="auto" w:before="166"/>
        <w:ind w:left="240" w:right="218"/>
        <w:jc w:val="both"/>
      </w:pPr>
      <w:r>
        <w:rPr/>
        <w:t>The generational work environment has included perceptions of stereotyping, norms, task characteristics, coworker relations, and at the workplace (Chernyak-Hai &amp; Rabenu, 2018). Perceptions of generations about each other in the working environment are commonly related to ethical behaviors, level of stereotyping, individualistic values (Gonzales et al., 2018). The goal of this study was to reflect on factors that may help to set a lack of stereotyping factors among the generation while they were working together at the workplace. It was hypothesized that a low level of stereotyping would lead to workplace intergenerational retention (H1). The result of a path analysis revealed the direct and indirect effect of lack of generational stereotyping (LGS) on workplace intergenerational retention is positive and partially mediated by organizational commitment. The same meaning of results was seen in the previous studies of whereby lack of perceived negative ageism and positive intergenerational climate contributed to the organizational satisfaction (Lagacé, Van de Beeck, &amp; Firzly, 2019). Age discrimination-free work environment with greater participation of the management reason to a higher level of organizational commitment and work engagement. The workforce is a combination of different ages of people having different skills, qualifications, and experiences. Age diversity in one workplace is key elements</w:t>
      </w:r>
      <w:r>
        <w:rPr>
          <w:spacing w:val="36"/>
        </w:rPr>
        <w:t> </w:t>
      </w:r>
      <w:r>
        <w:rPr/>
        <w:t>to</w:t>
      </w:r>
      <w:r>
        <w:rPr>
          <w:spacing w:val="37"/>
        </w:rPr>
        <w:t> </w:t>
      </w:r>
      <w:r>
        <w:rPr/>
        <w:t>an</w:t>
      </w:r>
      <w:r>
        <w:rPr>
          <w:spacing w:val="37"/>
        </w:rPr>
        <w:t> </w:t>
      </w:r>
      <w:r>
        <w:rPr/>
        <w:t>organization's</w:t>
      </w:r>
      <w:r>
        <w:rPr>
          <w:spacing w:val="37"/>
        </w:rPr>
        <w:t> </w:t>
      </w:r>
      <w:r>
        <w:rPr/>
        <w:t>success</w:t>
      </w:r>
      <w:r>
        <w:rPr>
          <w:spacing w:val="37"/>
        </w:rPr>
        <w:t> </w:t>
      </w:r>
      <w:r>
        <w:rPr/>
        <w:t>(Jelenko,</w:t>
      </w:r>
      <w:r>
        <w:rPr>
          <w:spacing w:val="36"/>
        </w:rPr>
        <w:t> </w:t>
      </w:r>
      <w:r>
        <w:rPr/>
        <w:t>2020).</w:t>
      </w:r>
      <w:r>
        <w:rPr>
          <w:spacing w:val="35"/>
        </w:rPr>
        <w:t> </w:t>
      </w:r>
      <w:r>
        <w:rPr/>
        <w:t>Age</w:t>
      </w:r>
      <w:r>
        <w:rPr>
          <w:spacing w:val="35"/>
        </w:rPr>
        <w:t> </w:t>
      </w:r>
      <w:r>
        <w:rPr/>
        <w:t>diversity</w:t>
      </w:r>
    </w:p>
    <w:p>
      <w:pPr>
        <w:pStyle w:val="BodyText"/>
        <w:spacing w:before="9"/>
        <w:rPr>
          <w:sz w:val="17"/>
        </w:rPr>
      </w:pPr>
    </w:p>
    <w:p>
      <w:pPr>
        <w:spacing w:before="56"/>
        <w:ind w:left="225" w:right="203" w:firstLine="0"/>
        <w:jc w:val="center"/>
        <w:rPr>
          <w:rFonts w:ascii="Carlito"/>
          <w:sz w:val="22"/>
        </w:rPr>
      </w:pPr>
      <w:r>
        <w:rPr>
          <w:rFonts w:ascii="Carlito"/>
          <w:sz w:val="22"/>
        </w:rPr>
        <w:t>15</w:t>
      </w:r>
    </w:p>
    <w:p>
      <w:pPr>
        <w:spacing w:after="0"/>
        <w:jc w:val="center"/>
        <w:rPr>
          <w:rFonts w:ascii="Carlito"/>
          <w:sz w:val="22"/>
        </w:rPr>
        <w:sectPr>
          <w:pgSz w:w="9000" w:h="14040"/>
          <w:pgMar w:top="680" w:bottom="280" w:left="840" w:right="860"/>
        </w:sectPr>
      </w:pPr>
    </w:p>
    <w:p>
      <w:pPr>
        <w:tabs>
          <w:tab w:pos="4863" w:val="left" w:leader="none"/>
        </w:tabs>
        <w:spacing w:before="39"/>
        <w:ind w:left="240" w:right="0" w:firstLine="0"/>
        <w:jc w:val="left"/>
        <w:rPr>
          <w:rFonts w:ascii="Carlito"/>
          <w:b/>
          <w:sz w:val="22"/>
        </w:rPr>
      </w:pPr>
      <w:r>
        <w:rPr>
          <w:rFonts w:ascii="Carlito"/>
          <w:b/>
          <w:sz w:val="22"/>
        </w:rPr>
        <w:t>Lack of</w:t>
      </w:r>
      <w:r>
        <w:rPr>
          <w:rFonts w:ascii="Carlito"/>
          <w:b/>
          <w:spacing w:val="-5"/>
          <w:sz w:val="22"/>
        </w:rPr>
        <w:t> </w:t>
      </w:r>
      <w:r>
        <w:rPr>
          <w:rFonts w:ascii="Carlito"/>
          <w:b/>
          <w:sz w:val="22"/>
        </w:rPr>
        <w:t>Generational</w:t>
      </w:r>
      <w:r>
        <w:rPr>
          <w:rFonts w:ascii="Carlito"/>
          <w:b/>
          <w:spacing w:val="-4"/>
          <w:sz w:val="22"/>
        </w:rPr>
        <w:t> </w:t>
      </w:r>
      <w:r>
        <w:rPr>
          <w:rFonts w:ascii="Carlito"/>
          <w:b/>
          <w:sz w:val="22"/>
        </w:rPr>
        <w:t>Stereotypes</w:t>
        <w:tab/>
      </w:r>
      <w:r>
        <w:rPr>
          <w:rFonts w:ascii="Carlito"/>
          <w:b/>
          <w:i/>
          <w:sz w:val="22"/>
        </w:rPr>
        <w:t>JSS</w:t>
      </w:r>
      <w:r>
        <w:rPr>
          <w:rFonts w:ascii="Carlito"/>
          <w:b/>
          <w:sz w:val="22"/>
        </w:rPr>
        <w:t>, Vol.11, No. 1</w:t>
      </w:r>
      <w:r>
        <w:rPr>
          <w:rFonts w:ascii="Carlito"/>
          <w:b/>
          <w:spacing w:val="-11"/>
          <w:sz w:val="22"/>
        </w:rPr>
        <w:t> </w:t>
      </w:r>
      <w:r>
        <w:rPr>
          <w:rFonts w:ascii="Carlito"/>
          <w:b/>
          <w:sz w:val="22"/>
        </w:rPr>
        <w:t>(2020)</w:t>
      </w:r>
    </w:p>
    <w:p>
      <w:pPr>
        <w:pStyle w:val="BodyText"/>
        <w:spacing w:before="8"/>
        <w:rPr>
          <w:rFonts w:ascii="Carlito"/>
          <w:b/>
          <w:sz w:val="14"/>
        </w:rPr>
      </w:pPr>
    </w:p>
    <w:p>
      <w:pPr>
        <w:pStyle w:val="BodyText"/>
        <w:spacing w:line="276" w:lineRule="auto" w:before="90"/>
        <w:ind w:left="240" w:right="212"/>
        <w:jc w:val="both"/>
      </w:pPr>
      <w:r>
        <w:rPr/>
        <w:t>has a positive effect on organizational productivity. If an organization want to do creative work it's good to have all age of people with different skills (Backes-Gellner &amp; Veen, 2013). Positive emotions and high organizational support are associated with the retention of multi- generations in the organization. The level of stereotypes based on any generational group affects the retention, (Stanton, 2017). Organizational fairness and work commitment are  positively correlated with each other, (devise et al 2006). Lack of generational stereotyping develops a fair atmosphere (Stanton, 2017). On the other side perceived stereotypes enable employees to low organizational commitment and involvement. This study showed that the impact of (LGS) on workplace intergenerational retention was: LGS: WIR (0.620) which means a low level of stereotyping has positively correlated with workplace intergenerational retention. A further role of organizational</w:t>
      </w:r>
      <w:r>
        <w:rPr>
          <w:spacing w:val="34"/>
        </w:rPr>
        <w:t> </w:t>
      </w:r>
      <w:r>
        <w:rPr/>
        <w:t>commitment</w:t>
      </w:r>
      <w:r>
        <w:rPr>
          <w:spacing w:val="32"/>
        </w:rPr>
        <w:t> </w:t>
      </w:r>
      <w:r>
        <w:rPr/>
        <w:t>LGS</w:t>
      </w:r>
      <w:r>
        <w:rPr>
          <w:spacing w:val="33"/>
        </w:rPr>
        <w:t> </w:t>
      </w:r>
      <w:r>
        <w:rPr/>
        <w:t>to</w:t>
      </w:r>
      <w:r>
        <w:rPr>
          <w:spacing w:val="32"/>
        </w:rPr>
        <w:t> </w:t>
      </w:r>
      <w:r>
        <w:rPr/>
        <w:t>OC</w:t>
      </w:r>
      <w:r>
        <w:rPr>
          <w:spacing w:val="34"/>
        </w:rPr>
        <w:t> </w:t>
      </w:r>
      <w:r>
        <w:rPr/>
        <w:t>IS</w:t>
      </w:r>
      <w:r>
        <w:rPr>
          <w:spacing w:val="36"/>
        </w:rPr>
        <w:t> </w:t>
      </w:r>
      <w:r>
        <w:rPr/>
        <w:t>0.139</w:t>
      </w:r>
      <w:r>
        <w:rPr>
          <w:spacing w:val="32"/>
        </w:rPr>
        <w:t> </w:t>
      </w:r>
      <w:r>
        <w:rPr/>
        <w:t>and</w:t>
      </w:r>
      <w:r>
        <w:rPr>
          <w:spacing w:val="32"/>
        </w:rPr>
        <w:t> </w:t>
      </w:r>
      <w:r>
        <w:rPr/>
        <w:t>OC</w:t>
      </w:r>
      <w:r>
        <w:rPr>
          <w:spacing w:val="32"/>
        </w:rPr>
        <w:t> </w:t>
      </w:r>
      <w:r>
        <w:rPr/>
        <w:t>to</w:t>
      </w:r>
      <w:r>
        <w:rPr>
          <w:spacing w:val="31"/>
        </w:rPr>
        <w:t> </w:t>
      </w:r>
      <w:r>
        <w:rPr/>
        <w:t>WIR</w:t>
      </w:r>
      <w:r>
        <w:rPr>
          <w:spacing w:val="32"/>
        </w:rPr>
        <w:t> </w:t>
      </w:r>
      <w:r>
        <w:rPr/>
        <w:t>is</w:t>
      </w:r>
    </w:p>
    <w:p>
      <w:pPr>
        <w:pStyle w:val="BodyText"/>
        <w:spacing w:line="278" w:lineRule="auto"/>
        <w:ind w:left="240" w:right="219"/>
        <w:jc w:val="both"/>
      </w:pPr>
      <w:r>
        <w:rPr/>
        <w:t>0.193 also positively mediated the relationship between lack of generational stereotyping and workplace intergenerational retention.</w:t>
      </w:r>
    </w:p>
    <w:p>
      <w:pPr>
        <w:pStyle w:val="Heading1"/>
        <w:numPr>
          <w:ilvl w:val="0"/>
          <w:numId w:val="1"/>
        </w:numPr>
        <w:tabs>
          <w:tab w:pos="546" w:val="left" w:leader="none"/>
        </w:tabs>
        <w:spacing w:line="240" w:lineRule="auto" w:before="117" w:after="0"/>
        <w:ind w:left="545" w:right="0" w:hanging="306"/>
        <w:jc w:val="both"/>
      </w:pPr>
      <w:r>
        <w:rPr/>
        <w:t>Implications</w:t>
      </w:r>
    </w:p>
    <w:p>
      <w:pPr>
        <w:pStyle w:val="BodyText"/>
        <w:spacing w:line="276" w:lineRule="auto" w:before="166"/>
        <w:ind w:left="240" w:right="214"/>
        <w:jc w:val="both"/>
      </w:pPr>
      <w:r>
        <w:rPr/>
        <w:t>The study has various implications for the retention of the multi- generation workforce. First efforts should be made to decrease stereotyping by making all ages of employees that their contributions, values, experience, opinions, and knowledge have valued to the organization. Second institutional heads/ supervisors should recognize the needs of all employees, programs and policies are need to be designed in addressing issues related to stereotyping. Employee perception about the working environment of organizations has important for the implementation of HR policies. Different perceptions and work values like the meaning of work, social responsibility, wages and benefits, work-life balance, learning and development, career growth, leadership style, and relationship with coworkers with organizational commitment. A positive collaborative work environment will be more effective at retaining of various generations. For example, millennial generations think that older group has a lack of technological knowledge so a collaborative and learning environment will enable an older worker to adopt technological skills. Various training programs should be a launch to enhance</w:t>
      </w:r>
      <w:r>
        <w:rPr>
          <w:spacing w:val="-3"/>
        </w:rPr>
        <w:t> </w:t>
      </w:r>
      <w:r>
        <w:rPr/>
        <w:t>technological</w:t>
      </w:r>
    </w:p>
    <w:p>
      <w:pPr>
        <w:spacing w:before="78"/>
        <w:ind w:left="225" w:right="203" w:firstLine="0"/>
        <w:jc w:val="center"/>
        <w:rPr>
          <w:rFonts w:ascii="Carlito"/>
          <w:sz w:val="22"/>
        </w:rPr>
      </w:pPr>
      <w:r>
        <w:rPr>
          <w:rFonts w:ascii="Carlito"/>
          <w:sz w:val="22"/>
        </w:rPr>
        <w:t>16</w:t>
      </w:r>
    </w:p>
    <w:p>
      <w:pPr>
        <w:spacing w:after="0"/>
        <w:jc w:val="center"/>
        <w:rPr>
          <w:rFonts w:ascii="Carlito"/>
          <w:sz w:val="22"/>
        </w:rPr>
        <w:sectPr>
          <w:pgSz w:w="9000" w:h="14040"/>
          <w:pgMar w:top="680" w:bottom="280" w:left="840" w:right="860"/>
        </w:sectPr>
      </w:pPr>
    </w:p>
    <w:p>
      <w:pPr>
        <w:tabs>
          <w:tab w:pos="4887" w:val="left" w:leader="none"/>
        </w:tabs>
        <w:spacing w:before="39"/>
        <w:ind w:left="240" w:right="0" w:firstLine="0"/>
        <w:jc w:val="left"/>
        <w:rPr>
          <w:rFonts w:ascii="Carlito"/>
          <w:b/>
          <w:sz w:val="22"/>
        </w:rPr>
      </w:pPr>
      <w:r>
        <w:rPr>
          <w:rFonts w:ascii="Carlito"/>
          <w:b/>
          <w:sz w:val="22"/>
        </w:rPr>
        <w:t>Kan</w:t>
      </w:r>
      <w:r>
        <w:rPr>
          <w:rFonts w:ascii="Carlito"/>
          <w:b/>
          <w:spacing w:val="-2"/>
          <w:sz w:val="22"/>
        </w:rPr>
        <w:t> </w:t>
      </w:r>
      <w:r>
        <w:rPr>
          <w:rFonts w:ascii="Carlito"/>
          <w:b/>
          <w:sz w:val="22"/>
        </w:rPr>
        <w:t>&amp;</w:t>
      </w:r>
      <w:r>
        <w:rPr>
          <w:rFonts w:ascii="Carlito"/>
          <w:b/>
          <w:spacing w:val="1"/>
          <w:sz w:val="22"/>
        </w:rPr>
        <w:t> </w:t>
      </w:r>
      <w:r>
        <w:rPr>
          <w:rFonts w:ascii="Carlito"/>
          <w:b/>
          <w:sz w:val="22"/>
        </w:rPr>
        <w:t>Gul</w:t>
        <w:tab/>
      </w:r>
      <w:r>
        <w:rPr>
          <w:rFonts w:ascii="Carlito"/>
          <w:b/>
          <w:i/>
          <w:sz w:val="22"/>
        </w:rPr>
        <w:t>JSS</w:t>
      </w:r>
      <w:r>
        <w:rPr>
          <w:rFonts w:ascii="Carlito"/>
          <w:b/>
          <w:sz w:val="22"/>
        </w:rPr>
        <w:t>, Vol.11, No. 1</w:t>
      </w:r>
      <w:r>
        <w:rPr>
          <w:rFonts w:ascii="Carlito"/>
          <w:b/>
          <w:spacing w:val="-8"/>
          <w:sz w:val="22"/>
        </w:rPr>
        <w:t> </w:t>
      </w:r>
      <w:r>
        <w:rPr>
          <w:rFonts w:ascii="Carlito"/>
          <w:b/>
          <w:sz w:val="22"/>
        </w:rPr>
        <w:t>(2020)</w:t>
      </w:r>
    </w:p>
    <w:p>
      <w:pPr>
        <w:pStyle w:val="BodyText"/>
        <w:spacing w:before="8"/>
        <w:rPr>
          <w:rFonts w:ascii="Carlito"/>
          <w:b/>
          <w:sz w:val="14"/>
        </w:rPr>
      </w:pPr>
    </w:p>
    <w:p>
      <w:pPr>
        <w:pStyle w:val="BodyText"/>
        <w:spacing w:line="276" w:lineRule="auto" w:before="90"/>
        <w:ind w:left="240" w:right="219"/>
        <w:jc w:val="both"/>
      </w:pPr>
      <w:r>
        <w:rPr/>
        <w:t>knowledge. Finally regular assessments of the stereotyping issues in the organizations considering retention factors are essential from time to time.</w:t>
      </w:r>
    </w:p>
    <w:p>
      <w:pPr>
        <w:pStyle w:val="Heading1"/>
        <w:numPr>
          <w:ilvl w:val="0"/>
          <w:numId w:val="1"/>
        </w:numPr>
        <w:tabs>
          <w:tab w:pos="546" w:val="left" w:leader="none"/>
        </w:tabs>
        <w:spacing w:line="240" w:lineRule="auto" w:before="122" w:after="0"/>
        <w:ind w:left="545" w:right="0" w:hanging="306"/>
        <w:jc w:val="both"/>
      </w:pPr>
      <w:r>
        <w:rPr/>
        <w:t>Limitation and recommendation for future</w:t>
      </w:r>
      <w:r>
        <w:rPr>
          <w:spacing w:val="-11"/>
        </w:rPr>
        <w:t> </w:t>
      </w:r>
      <w:r>
        <w:rPr/>
        <w:t>research</w:t>
      </w:r>
    </w:p>
    <w:p>
      <w:pPr>
        <w:pStyle w:val="BodyText"/>
        <w:spacing w:line="276" w:lineRule="auto" w:before="167"/>
        <w:ind w:left="240" w:right="217"/>
        <w:jc w:val="both"/>
      </w:pPr>
      <w:r>
        <w:rPr/>
        <w:t>The result of this research demonstrated that there are too many stereotyping exists in the organization and how retention of the employees may be possible under these circumstances. But this study only highlights the low level of stereotyping factors. This study has not discussed how generational stereotyping is one of the main threats in organizational life and impact on commitment and retention of the employees. High level of stereotyping and its impact on commitment and retention is a major area that is needed to discuss in the future. The perception of stereotyping may not be ignored. Millennial workers mostly have stereotyping feelings about an older group they have a lack of technical skills so it's good to retire this workforce. More stereotyping can affect the social identity and organizational commitment of the individuals (Horsey, 2008). This research can be beneficial for the organization to discuss the situation of actually generational stereotyping and to remove these deficiencies among cohorts. Literature suggests that knowing problems of stereotyping enables the management to set the policies of retention of different age groups in the organization (Stanton, 2017). The current research is focused on the teachers/educators of the government of Punjab of a specific region. It is recommended to carry on further research on different departments and regions to see the level </w:t>
      </w:r>
      <w:r>
        <w:rPr>
          <w:spacing w:val="2"/>
        </w:rPr>
        <w:t>of </w:t>
      </w:r>
      <w:r>
        <w:rPr/>
        <w:t>generational stereotyping and its impact on retention. Future research can also add the different outcomes like employee wellbeing behaviors and also add the comparison of job types (temporary or permanent) and comparison of the public and private educational institute with respect to lack of stereotyping. Generational stereotyping is commonly found between intergenerational communications but things are that how the management addressed this issue and overcome it to retain talented employees belongs to various generations. Future research also may be focused on the management style and its contribution to the stereotyping.</w:t>
      </w:r>
    </w:p>
    <w:p>
      <w:pPr>
        <w:spacing w:before="126"/>
        <w:ind w:left="225" w:right="203" w:firstLine="0"/>
        <w:jc w:val="center"/>
        <w:rPr>
          <w:rFonts w:ascii="Carlito"/>
          <w:sz w:val="22"/>
        </w:rPr>
      </w:pPr>
      <w:r>
        <w:rPr>
          <w:rFonts w:ascii="Carlito"/>
          <w:sz w:val="22"/>
        </w:rPr>
        <w:t>17</w:t>
      </w:r>
    </w:p>
    <w:p>
      <w:pPr>
        <w:spacing w:after="0"/>
        <w:jc w:val="center"/>
        <w:rPr>
          <w:rFonts w:ascii="Carlito"/>
          <w:sz w:val="22"/>
        </w:rPr>
        <w:sectPr>
          <w:pgSz w:w="9000" w:h="14040"/>
          <w:pgMar w:top="680" w:bottom="280" w:left="840" w:right="860"/>
        </w:sectPr>
      </w:pPr>
    </w:p>
    <w:p>
      <w:pPr>
        <w:tabs>
          <w:tab w:pos="4863" w:val="left" w:leader="none"/>
        </w:tabs>
        <w:spacing w:before="39"/>
        <w:ind w:left="240" w:right="0" w:firstLine="0"/>
        <w:jc w:val="left"/>
        <w:rPr>
          <w:rFonts w:ascii="Carlito"/>
          <w:b/>
          <w:sz w:val="22"/>
        </w:rPr>
      </w:pPr>
      <w:r>
        <w:rPr>
          <w:rFonts w:ascii="Carlito"/>
          <w:b/>
          <w:sz w:val="22"/>
        </w:rPr>
        <w:t>Lack of</w:t>
      </w:r>
      <w:r>
        <w:rPr>
          <w:rFonts w:ascii="Carlito"/>
          <w:b/>
          <w:spacing w:val="-5"/>
          <w:sz w:val="22"/>
        </w:rPr>
        <w:t> </w:t>
      </w:r>
      <w:r>
        <w:rPr>
          <w:rFonts w:ascii="Carlito"/>
          <w:b/>
          <w:sz w:val="22"/>
        </w:rPr>
        <w:t>Generational</w:t>
      </w:r>
      <w:r>
        <w:rPr>
          <w:rFonts w:ascii="Carlito"/>
          <w:b/>
          <w:spacing w:val="-4"/>
          <w:sz w:val="22"/>
        </w:rPr>
        <w:t> </w:t>
      </w:r>
      <w:r>
        <w:rPr>
          <w:rFonts w:ascii="Carlito"/>
          <w:b/>
          <w:sz w:val="22"/>
        </w:rPr>
        <w:t>Stereotypes</w:t>
        <w:tab/>
      </w:r>
      <w:r>
        <w:rPr>
          <w:rFonts w:ascii="Carlito"/>
          <w:b/>
          <w:i/>
          <w:sz w:val="22"/>
        </w:rPr>
        <w:t>JSS</w:t>
      </w:r>
      <w:r>
        <w:rPr>
          <w:rFonts w:ascii="Carlito"/>
          <w:b/>
          <w:sz w:val="22"/>
        </w:rPr>
        <w:t>, Vol.11, No. 1</w:t>
      </w:r>
      <w:r>
        <w:rPr>
          <w:rFonts w:ascii="Carlito"/>
          <w:b/>
          <w:spacing w:val="-7"/>
          <w:sz w:val="22"/>
        </w:rPr>
        <w:t> </w:t>
      </w:r>
      <w:r>
        <w:rPr>
          <w:rFonts w:ascii="Carlito"/>
          <w:b/>
          <w:sz w:val="22"/>
        </w:rPr>
        <w:t>(2020)</w:t>
      </w:r>
    </w:p>
    <w:p>
      <w:pPr>
        <w:pStyle w:val="BodyText"/>
        <w:spacing w:before="2"/>
        <w:rPr>
          <w:rFonts w:ascii="Carlito"/>
          <w:b/>
          <w:sz w:val="22"/>
        </w:rPr>
      </w:pPr>
    </w:p>
    <w:p>
      <w:pPr>
        <w:pStyle w:val="Heading1"/>
        <w:numPr>
          <w:ilvl w:val="0"/>
          <w:numId w:val="1"/>
        </w:numPr>
        <w:tabs>
          <w:tab w:pos="546" w:val="left" w:leader="none"/>
        </w:tabs>
        <w:spacing w:line="240" w:lineRule="auto" w:before="0" w:after="0"/>
        <w:ind w:left="545" w:right="0" w:hanging="306"/>
        <w:jc w:val="left"/>
      </w:pPr>
      <w:r>
        <w:rPr/>
        <w:t>Conclusions</w:t>
      </w:r>
    </w:p>
    <w:p>
      <w:pPr>
        <w:pStyle w:val="BodyText"/>
        <w:spacing w:line="276" w:lineRule="auto" w:before="166"/>
        <w:ind w:left="240" w:right="216"/>
        <w:jc w:val="both"/>
      </w:pPr>
      <w:r>
        <w:rPr/>
        <w:t>In spite of different kinds of conflicts, stereotyping, and tensions working together of different generations at the workplace added value to the source of success. Increase diversity age benefits from diversity cost especially the need to more diverse problem-solving capacities, better incentive structure, and enabling working environment for transferring norms from older to the younger generation. As a result diversity age benefits will be more from diversity age cost and productivity of the organization will be increased. Secondly, the experience of older employees and knowledge of modern technologies of younger employees creates diversity in the workplace. Intergenerational cooperation at work may increase performance overall by sharing experience and modern knowledge and it will decrease the social burden and work-family conflict. Benefits of work as we instead of I increase monetary figure and reduce conflict problem considering all things age diversity is a positive factor to the organization's success. Age diversity creates a healthy work environment. In spite of different clashes, views, and perceptions among different generations age diversity increases the performance of the organization. Different tasks, assignments, and projects can easily be handled with modern work of knowledge coupled with the older experience. The result of this study reveals the show the important role of LGS is helpful to retain different age groups in the</w:t>
      </w:r>
      <w:r>
        <w:rPr>
          <w:spacing w:val="-6"/>
        </w:rPr>
        <w:t> </w:t>
      </w:r>
      <w:r>
        <w:rPr/>
        <w:t>organization.</w:t>
      </w:r>
    </w:p>
    <w:p>
      <w:pPr>
        <w:pStyle w:val="Heading1"/>
        <w:ind w:left="240" w:firstLine="0"/>
        <w:jc w:val="left"/>
      </w:pPr>
      <w:r>
        <w:rPr/>
        <w:t>References</w:t>
      </w:r>
    </w:p>
    <w:p>
      <w:pPr>
        <w:pStyle w:val="BodyText"/>
        <w:spacing w:line="276" w:lineRule="auto" w:before="169"/>
        <w:ind w:left="240"/>
      </w:pPr>
      <w:r>
        <w:rPr/>
        <w:t>Adebayo, A. A. (2019). Impact of Communication on Customers’ Satisfaction in Hospitality Industry in Kwara State, Nigeria. Retrieved from </w:t>
      </w:r>
      <w:hyperlink r:id="rId6">
        <w:r>
          <w:rPr/>
          <w:t>http://search.proquest.com/openview/5af37736aa34eaa4c8893252cf5e</w:t>
        </w:r>
      </w:hyperlink>
      <w:r>
        <w:rPr/>
        <w:t> 1cb8/1?</w:t>
      </w:r>
    </w:p>
    <w:p>
      <w:pPr>
        <w:spacing w:line="276" w:lineRule="auto" w:before="120"/>
        <w:ind w:left="240" w:right="213" w:firstLine="0"/>
        <w:jc w:val="both"/>
        <w:rPr>
          <w:sz w:val="24"/>
        </w:rPr>
      </w:pPr>
      <w:r>
        <w:rPr>
          <w:sz w:val="24"/>
        </w:rPr>
        <w:t>Ahmed, S. E., Öztop, H. F., &amp; Al-Salem, K. (2016). Effects of magnetic field and viscous dissipation on entropy generation of mixed convection in porous lid-driven cavity with corner heater. </w:t>
      </w:r>
      <w:r>
        <w:rPr>
          <w:i/>
          <w:sz w:val="24"/>
        </w:rPr>
        <w:t>International Journal of Numerical Methods for Heat and Fluid Flow</w:t>
      </w:r>
      <w:r>
        <w:rPr>
          <w:sz w:val="24"/>
        </w:rPr>
        <w:t>, </w:t>
      </w:r>
      <w:r>
        <w:rPr>
          <w:i/>
          <w:sz w:val="24"/>
        </w:rPr>
        <w:t>26</w:t>
      </w:r>
      <w:r>
        <w:rPr>
          <w:sz w:val="24"/>
        </w:rPr>
        <w:t>(5), 1548–1566.</w:t>
      </w:r>
      <w:r>
        <w:rPr>
          <w:spacing w:val="-1"/>
          <w:sz w:val="24"/>
        </w:rPr>
        <w:t> </w:t>
      </w:r>
      <w:r>
        <w:rPr>
          <w:sz w:val="24"/>
        </w:rPr>
        <w:t>https://doi.org/10.1108/HFF-11-2014-0344</w:t>
      </w:r>
    </w:p>
    <w:p>
      <w:pPr>
        <w:pStyle w:val="BodyText"/>
        <w:rPr>
          <w:sz w:val="20"/>
        </w:rPr>
      </w:pPr>
    </w:p>
    <w:p>
      <w:pPr>
        <w:spacing w:before="188"/>
        <w:ind w:left="225" w:right="203" w:firstLine="0"/>
        <w:jc w:val="center"/>
        <w:rPr>
          <w:rFonts w:ascii="Carlito"/>
          <w:sz w:val="22"/>
        </w:rPr>
      </w:pPr>
      <w:r>
        <w:rPr>
          <w:rFonts w:ascii="Carlito"/>
          <w:sz w:val="22"/>
        </w:rPr>
        <w:t>18</w:t>
      </w:r>
    </w:p>
    <w:p>
      <w:pPr>
        <w:spacing w:after="0"/>
        <w:jc w:val="center"/>
        <w:rPr>
          <w:rFonts w:ascii="Carlito"/>
          <w:sz w:val="22"/>
        </w:rPr>
        <w:sectPr>
          <w:pgSz w:w="9000" w:h="14040"/>
          <w:pgMar w:top="680" w:bottom="280" w:left="840" w:right="860"/>
        </w:sectPr>
      </w:pPr>
    </w:p>
    <w:p>
      <w:pPr>
        <w:tabs>
          <w:tab w:pos="4887" w:val="left" w:leader="none"/>
        </w:tabs>
        <w:spacing w:before="39"/>
        <w:ind w:left="240" w:right="0" w:firstLine="0"/>
        <w:jc w:val="left"/>
        <w:rPr>
          <w:rFonts w:ascii="Carlito"/>
          <w:b/>
          <w:sz w:val="22"/>
        </w:rPr>
      </w:pPr>
      <w:r>
        <w:rPr>
          <w:rFonts w:ascii="Carlito"/>
          <w:b/>
          <w:sz w:val="22"/>
        </w:rPr>
        <w:t>Kan</w:t>
      </w:r>
      <w:r>
        <w:rPr>
          <w:rFonts w:ascii="Carlito"/>
          <w:b/>
          <w:spacing w:val="-2"/>
          <w:sz w:val="22"/>
        </w:rPr>
        <w:t> </w:t>
      </w:r>
      <w:r>
        <w:rPr>
          <w:rFonts w:ascii="Carlito"/>
          <w:b/>
          <w:sz w:val="22"/>
        </w:rPr>
        <w:t>&amp;</w:t>
      </w:r>
      <w:r>
        <w:rPr>
          <w:rFonts w:ascii="Carlito"/>
          <w:b/>
          <w:spacing w:val="1"/>
          <w:sz w:val="22"/>
        </w:rPr>
        <w:t> </w:t>
      </w:r>
      <w:r>
        <w:rPr>
          <w:rFonts w:ascii="Carlito"/>
          <w:b/>
          <w:sz w:val="22"/>
        </w:rPr>
        <w:t>Gul</w:t>
        <w:tab/>
      </w:r>
      <w:r>
        <w:rPr>
          <w:rFonts w:ascii="Carlito"/>
          <w:b/>
          <w:i/>
          <w:sz w:val="22"/>
        </w:rPr>
        <w:t>JSS</w:t>
      </w:r>
      <w:r>
        <w:rPr>
          <w:rFonts w:ascii="Carlito"/>
          <w:b/>
          <w:sz w:val="22"/>
        </w:rPr>
        <w:t>, Vol.11, No. 1</w:t>
      </w:r>
      <w:r>
        <w:rPr>
          <w:rFonts w:ascii="Carlito"/>
          <w:b/>
          <w:spacing w:val="-8"/>
          <w:sz w:val="22"/>
        </w:rPr>
        <w:t> </w:t>
      </w:r>
      <w:r>
        <w:rPr>
          <w:rFonts w:ascii="Carlito"/>
          <w:b/>
          <w:sz w:val="22"/>
        </w:rPr>
        <w:t>(2020)</w:t>
      </w:r>
    </w:p>
    <w:p>
      <w:pPr>
        <w:pStyle w:val="BodyText"/>
        <w:spacing w:before="8"/>
        <w:rPr>
          <w:rFonts w:ascii="Carlito"/>
          <w:b/>
          <w:sz w:val="14"/>
        </w:rPr>
      </w:pPr>
    </w:p>
    <w:p>
      <w:pPr>
        <w:pStyle w:val="BodyText"/>
        <w:spacing w:line="276" w:lineRule="auto" w:before="90"/>
        <w:ind w:left="240" w:right="213"/>
        <w:jc w:val="both"/>
      </w:pPr>
      <w:r>
        <w:rPr/>
        <w:t>Akhavan Sarraf, A. R., Abzari, M., Nasr Isfahani, A., &amp; Fathi, S. (2017). Generational differences in job engagement: a case study of an industrial organization in Iran. </w:t>
      </w:r>
      <w:r>
        <w:rPr>
          <w:i/>
        </w:rPr>
        <w:t>Industrial and Commercial Training</w:t>
      </w:r>
      <w:r>
        <w:rPr/>
        <w:t>, </w:t>
      </w:r>
      <w:r>
        <w:rPr>
          <w:i/>
        </w:rPr>
        <w:t>49</w:t>
      </w:r>
      <w:r>
        <w:rPr/>
        <w:t>(3), 106–115. https://doi.org/10.1108/ICT-10-2016-0068</w:t>
      </w:r>
    </w:p>
    <w:p>
      <w:pPr>
        <w:pStyle w:val="BodyText"/>
        <w:tabs>
          <w:tab w:pos="2225" w:val="left" w:leader="none"/>
          <w:tab w:pos="3624" w:val="left" w:leader="none"/>
          <w:tab w:pos="4904" w:val="left" w:leader="none"/>
          <w:tab w:pos="6181" w:val="left" w:leader="none"/>
        </w:tabs>
        <w:spacing w:line="276" w:lineRule="auto" w:before="120"/>
        <w:ind w:left="240" w:right="217"/>
        <w:jc w:val="both"/>
      </w:pPr>
      <w:r>
        <w:rPr/>
        <w:t>Anderson, H. J., Baur, J. E., Griffith, J. A., &amp; Buckley, M. R. (2017). What works for you may not work for (Gen)Me: Limitations of present leadership theories for the new generation. </w:t>
      </w:r>
      <w:r>
        <w:rPr>
          <w:i/>
        </w:rPr>
        <w:t>Leadership </w:t>
      </w:r>
      <w:r>
        <w:rPr>
          <w:i/>
        </w:rPr>
        <w:t>Quarterly</w:t>
      </w:r>
      <w:r>
        <w:rPr/>
        <w:t>,</w:t>
        <w:tab/>
        <w:t>Vol.</w:t>
        <w:tab/>
        <w:t>28,</w:t>
        <w:tab/>
        <w:t>pp.</w:t>
        <w:tab/>
      </w:r>
      <w:r>
        <w:rPr>
          <w:spacing w:val="-3"/>
        </w:rPr>
        <w:t>245–260. </w:t>
      </w:r>
      <w:r>
        <w:rPr/>
        <w:t>https://doi.org/10.1016/j.leaqua.2016.08.001</w:t>
      </w:r>
    </w:p>
    <w:p>
      <w:pPr>
        <w:pStyle w:val="BodyText"/>
        <w:spacing w:line="276" w:lineRule="auto" w:before="121"/>
        <w:ind w:left="240" w:right="219"/>
        <w:jc w:val="both"/>
      </w:pPr>
      <w:r>
        <w:rPr/>
        <w:t>Backes-Gellner, U., &amp; Veen, S. (2013). Positive effects of ageing and age diversity in innovative companies - large-scale empirical evidence on company productivity. </w:t>
      </w:r>
      <w:r>
        <w:rPr>
          <w:i/>
        </w:rPr>
        <w:t>Human Resource Management Journal</w:t>
      </w:r>
      <w:r>
        <w:rPr/>
        <w:t>, </w:t>
      </w:r>
      <w:r>
        <w:rPr>
          <w:i/>
        </w:rPr>
        <w:t>23</w:t>
      </w:r>
      <w:r>
        <w:rPr/>
        <w:t>(3), 279–295. https://doi.org/10.1111/1748-8583.12011</w:t>
      </w:r>
    </w:p>
    <w:p>
      <w:pPr>
        <w:pStyle w:val="BodyText"/>
        <w:spacing w:line="276" w:lineRule="auto" w:before="120"/>
        <w:ind w:left="240" w:right="217"/>
        <w:jc w:val="both"/>
      </w:pPr>
      <w:r>
        <w:rPr/>
        <w:t>Beaudoin, C. A., Cianci, A. M., Hannah, S. T., &amp; Tsakumis, G. T. (2019). Bolstering Managers’ Resistance to Temptation via the Firm’s Commitment to Corporate Social Responsibility. </w:t>
      </w:r>
      <w:r>
        <w:rPr>
          <w:i/>
        </w:rPr>
        <w:t>Journal of Business </w:t>
      </w:r>
      <w:r>
        <w:rPr>
          <w:i/>
        </w:rPr>
        <w:t>Ethics</w:t>
      </w:r>
      <w:r>
        <w:rPr/>
        <w:t>, </w:t>
      </w:r>
      <w:r>
        <w:rPr>
          <w:i/>
        </w:rPr>
        <w:t>157</w:t>
      </w:r>
      <w:r>
        <w:rPr/>
        <w:t>(2), 303–318. https://doi.org/10.1007/s10551-018-3789-2</w:t>
      </w:r>
    </w:p>
    <w:p>
      <w:pPr>
        <w:pStyle w:val="BodyText"/>
        <w:spacing w:line="276" w:lineRule="auto" w:before="120"/>
        <w:ind w:left="240" w:right="218"/>
        <w:jc w:val="both"/>
      </w:pPr>
      <w:r>
        <w:rPr/>
        <w:t>Chernyak-Hai, L., &amp; Rabenu, E. (2018, September 1). The New Era Workplace Relationships: Is Social Exchange Theory Still Relevant? </w:t>
      </w:r>
      <w:r>
        <w:rPr>
          <w:i/>
        </w:rPr>
        <w:t>Industrial and Organizational Psychology</w:t>
      </w:r>
      <w:r>
        <w:rPr/>
        <w:t>, Vol. 11, pp. 456–481. https://doi.org/10.1017/iop.2018.5</w:t>
      </w:r>
    </w:p>
    <w:p>
      <w:pPr>
        <w:pStyle w:val="BodyText"/>
        <w:spacing w:before="120"/>
        <w:ind w:left="240"/>
        <w:jc w:val="both"/>
      </w:pPr>
      <w:r>
        <w:rPr/>
        <w:t>Clark, K. R. (2017). Managing multiple generations in the workplace.</w:t>
      </w:r>
    </w:p>
    <w:p>
      <w:pPr>
        <w:spacing w:before="42"/>
        <w:ind w:left="240" w:right="0" w:firstLine="0"/>
        <w:jc w:val="both"/>
        <w:rPr>
          <w:sz w:val="24"/>
        </w:rPr>
      </w:pPr>
      <w:r>
        <w:rPr>
          <w:i/>
          <w:sz w:val="24"/>
        </w:rPr>
        <w:t>Radiologic Technology</w:t>
      </w:r>
      <w:r>
        <w:rPr>
          <w:sz w:val="24"/>
        </w:rPr>
        <w:t>, </w:t>
      </w:r>
      <w:r>
        <w:rPr>
          <w:i/>
          <w:sz w:val="24"/>
        </w:rPr>
        <w:t>88</w:t>
      </w:r>
      <w:r>
        <w:rPr>
          <w:sz w:val="24"/>
        </w:rPr>
        <w:t>(4), 379–398.</w:t>
      </w:r>
    </w:p>
    <w:p>
      <w:pPr>
        <w:pStyle w:val="BodyText"/>
        <w:tabs>
          <w:tab w:pos="1829" w:val="left" w:leader="none"/>
          <w:tab w:pos="2937" w:val="left" w:leader="none"/>
          <w:tab w:pos="4854" w:val="left" w:leader="none"/>
          <w:tab w:pos="6181" w:val="left" w:leader="none"/>
        </w:tabs>
        <w:spacing w:line="276" w:lineRule="auto" w:before="161"/>
        <w:ind w:left="240" w:right="217"/>
        <w:jc w:val="both"/>
      </w:pPr>
      <w:r>
        <w:rPr/>
        <w:t>Deal, J. J., Altman, D. G., &amp; Rogelberg, S. G. (2010). Millennials at work: What we know and what we need to do (if anything). </w:t>
      </w:r>
      <w:r>
        <w:rPr>
          <w:i/>
        </w:rPr>
        <w:t>Journal </w:t>
      </w:r>
      <w:r>
        <w:rPr>
          <w:i/>
          <w:spacing w:val="-6"/>
        </w:rPr>
        <w:t>of </w:t>
      </w:r>
      <w:r>
        <w:rPr>
          <w:i/>
        </w:rPr>
        <w:t>Business</w:t>
        <w:tab/>
        <w:t>and</w:t>
        <w:tab/>
        <w:t>Psychology</w:t>
      </w:r>
      <w:r>
        <w:rPr/>
        <w:t>,</w:t>
        <w:tab/>
      </w:r>
      <w:r>
        <w:rPr>
          <w:i/>
        </w:rPr>
        <w:t>25</w:t>
      </w:r>
      <w:r>
        <w:rPr/>
        <w:t>(2),</w:t>
        <w:tab/>
      </w:r>
      <w:r>
        <w:rPr>
          <w:spacing w:val="-3"/>
        </w:rPr>
        <w:t>191–199. </w:t>
      </w:r>
      <w:r>
        <w:rPr/>
        <w:t>https://doi.org/10.1007/s10869-010-9177-2</w:t>
      </w:r>
    </w:p>
    <w:p>
      <w:pPr>
        <w:pStyle w:val="BodyText"/>
        <w:spacing w:line="276" w:lineRule="auto" w:before="120"/>
        <w:ind w:left="240" w:right="217"/>
        <w:jc w:val="both"/>
      </w:pPr>
      <w:r>
        <w:rPr/>
        <w:t>Fasbender, U. (2016). Stereotype, Prejudice, and Discrimination toward Older Workers: A Wind of Change? In </w:t>
      </w:r>
      <w:r>
        <w:rPr>
          <w:i/>
        </w:rPr>
        <w:t>The Aging Workforce </w:t>
      </w:r>
      <w:r>
        <w:rPr>
          <w:i/>
        </w:rPr>
        <w:t>Handbook </w:t>
      </w:r>
      <w:r>
        <w:rPr/>
        <w:t>(pp. 159–183). https://doi.org/10.1108/978-1-78635-448- 820161007</w:t>
      </w:r>
    </w:p>
    <w:p>
      <w:pPr>
        <w:pStyle w:val="BodyText"/>
        <w:spacing w:line="276" w:lineRule="auto" w:before="120"/>
        <w:ind w:left="240" w:right="221"/>
        <w:jc w:val="both"/>
      </w:pPr>
      <w:r>
        <w:rPr/>
        <w:t>Fletcher, L., Alfes, K., &amp; Robinson, D. (2018). The relationship between perceived training and development and employee retention:</w:t>
      </w:r>
    </w:p>
    <w:p>
      <w:pPr>
        <w:spacing w:before="93"/>
        <w:ind w:left="225" w:right="203" w:firstLine="0"/>
        <w:jc w:val="center"/>
        <w:rPr>
          <w:rFonts w:ascii="Carlito"/>
          <w:sz w:val="22"/>
        </w:rPr>
      </w:pPr>
      <w:r>
        <w:rPr>
          <w:rFonts w:ascii="Carlito"/>
          <w:sz w:val="22"/>
        </w:rPr>
        <w:t>19</w:t>
      </w:r>
    </w:p>
    <w:p>
      <w:pPr>
        <w:spacing w:after="0"/>
        <w:jc w:val="center"/>
        <w:rPr>
          <w:rFonts w:ascii="Carlito"/>
          <w:sz w:val="22"/>
        </w:rPr>
        <w:sectPr>
          <w:pgSz w:w="9000" w:h="14040"/>
          <w:pgMar w:top="680" w:bottom="280" w:left="840" w:right="860"/>
        </w:sectPr>
      </w:pPr>
    </w:p>
    <w:p>
      <w:pPr>
        <w:tabs>
          <w:tab w:pos="4863" w:val="left" w:leader="none"/>
        </w:tabs>
        <w:spacing w:before="39"/>
        <w:ind w:left="240" w:right="0" w:firstLine="0"/>
        <w:jc w:val="left"/>
        <w:rPr>
          <w:rFonts w:ascii="Carlito"/>
          <w:b/>
          <w:sz w:val="22"/>
        </w:rPr>
      </w:pPr>
      <w:r>
        <w:rPr>
          <w:rFonts w:ascii="Carlito"/>
          <w:b/>
          <w:sz w:val="22"/>
        </w:rPr>
        <w:t>Lack of</w:t>
      </w:r>
      <w:r>
        <w:rPr>
          <w:rFonts w:ascii="Carlito"/>
          <w:b/>
          <w:spacing w:val="-5"/>
          <w:sz w:val="22"/>
        </w:rPr>
        <w:t> </w:t>
      </w:r>
      <w:r>
        <w:rPr>
          <w:rFonts w:ascii="Carlito"/>
          <w:b/>
          <w:sz w:val="22"/>
        </w:rPr>
        <w:t>Generational</w:t>
      </w:r>
      <w:r>
        <w:rPr>
          <w:rFonts w:ascii="Carlito"/>
          <w:b/>
          <w:spacing w:val="-4"/>
          <w:sz w:val="22"/>
        </w:rPr>
        <w:t> </w:t>
      </w:r>
      <w:r>
        <w:rPr>
          <w:rFonts w:ascii="Carlito"/>
          <w:b/>
          <w:sz w:val="22"/>
        </w:rPr>
        <w:t>Stereotypes</w:t>
        <w:tab/>
      </w:r>
      <w:r>
        <w:rPr>
          <w:rFonts w:ascii="Carlito"/>
          <w:b/>
          <w:i/>
          <w:sz w:val="22"/>
        </w:rPr>
        <w:t>JSS</w:t>
      </w:r>
      <w:r>
        <w:rPr>
          <w:rFonts w:ascii="Carlito"/>
          <w:b/>
          <w:sz w:val="22"/>
        </w:rPr>
        <w:t>, Vol.11, No. 1</w:t>
      </w:r>
      <w:r>
        <w:rPr>
          <w:rFonts w:ascii="Carlito"/>
          <w:b/>
          <w:spacing w:val="-7"/>
          <w:sz w:val="22"/>
        </w:rPr>
        <w:t> </w:t>
      </w:r>
      <w:r>
        <w:rPr>
          <w:rFonts w:ascii="Carlito"/>
          <w:b/>
          <w:sz w:val="22"/>
        </w:rPr>
        <w:t>(2020)</w:t>
      </w:r>
    </w:p>
    <w:p>
      <w:pPr>
        <w:pStyle w:val="BodyText"/>
        <w:spacing w:before="8"/>
        <w:rPr>
          <w:rFonts w:ascii="Carlito"/>
          <w:b/>
          <w:sz w:val="14"/>
        </w:rPr>
      </w:pPr>
    </w:p>
    <w:p>
      <w:pPr>
        <w:tabs>
          <w:tab w:pos="2064" w:val="left" w:leader="none"/>
          <w:tab w:pos="4309" w:val="left" w:leader="none"/>
          <w:tab w:pos="5943" w:val="left" w:leader="none"/>
        </w:tabs>
        <w:spacing w:line="276" w:lineRule="auto" w:before="90"/>
        <w:ind w:left="240" w:right="213" w:firstLine="0"/>
        <w:jc w:val="both"/>
        <w:rPr>
          <w:sz w:val="24"/>
        </w:rPr>
      </w:pPr>
      <w:r>
        <w:rPr>
          <w:sz w:val="24"/>
        </w:rPr>
        <w:t>the mediating role of work attitudes. </w:t>
      </w:r>
      <w:r>
        <w:rPr>
          <w:i/>
          <w:sz w:val="24"/>
        </w:rPr>
        <w:t>International Journal of Human </w:t>
      </w:r>
      <w:r>
        <w:rPr>
          <w:i/>
          <w:sz w:val="24"/>
        </w:rPr>
        <w:t>Resource</w:t>
        <w:tab/>
        <w:t>Management</w:t>
      </w:r>
      <w:r>
        <w:rPr>
          <w:sz w:val="24"/>
        </w:rPr>
        <w:t>,</w:t>
        <w:tab/>
      </w:r>
      <w:r>
        <w:rPr>
          <w:i/>
          <w:sz w:val="24"/>
        </w:rPr>
        <w:t>29</w:t>
      </w:r>
      <w:r>
        <w:rPr>
          <w:sz w:val="24"/>
        </w:rPr>
        <w:t>(18),</w:t>
        <w:tab/>
      </w:r>
      <w:r>
        <w:rPr>
          <w:spacing w:val="-1"/>
          <w:sz w:val="24"/>
        </w:rPr>
        <w:t>2701–2728. </w:t>
      </w:r>
      <w:r>
        <w:rPr>
          <w:sz w:val="24"/>
        </w:rPr>
        <w:t>https://doi.org/10.1080/09585192.2016.1262888</w:t>
      </w:r>
    </w:p>
    <w:p>
      <w:pPr>
        <w:pStyle w:val="BodyText"/>
        <w:spacing w:line="276" w:lineRule="auto" w:before="121"/>
        <w:ind w:left="240" w:right="221"/>
        <w:jc w:val="both"/>
      </w:pPr>
      <w:r>
        <w:rPr/>
        <w:t>Gonzales, K. L., Jacob, M. M., Mercier, A., Heater, H., Nall Goes Behind, L., Joseph, J., &amp; Kuerschner, S. (2018). An indigenous framework of the cycle of fetal alcohol spectrum disorder risk and prevention across the generations: historical trauma, harm and healing. </w:t>
      </w:r>
      <w:r>
        <w:rPr>
          <w:i/>
        </w:rPr>
        <w:t>Ethnicity and Health</w:t>
      </w:r>
      <w:r>
        <w:rPr/>
        <w:t>,</w:t>
      </w:r>
    </w:p>
    <w:p>
      <w:pPr>
        <w:pStyle w:val="BodyText"/>
        <w:spacing w:line="276" w:lineRule="auto" w:before="120"/>
        <w:ind w:left="240" w:right="216"/>
        <w:jc w:val="both"/>
      </w:pPr>
      <w:r>
        <w:rPr/>
        <w:t>Hammond, M. M., Lester, G., Clapp-Smith, R., &amp; Palanski, M. (2017). Age Diversity and Leadership: Enacting and Developing Leadership for All Ages. In </w:t>
      </w:r>
      <w:r>
        <w:rPr>
          <w:i/>
        </w:rPr>
        <w:t>The Palgrave Handbook of Age Diversity and Work </w:t>
      </w:r>
      <w:r>
        <w:rPr/>
        <w:t>(pp. 737–759). https://doi.org/10.1057/978-1-137-46781-2_29</w:t>
      </w:r>
    </w:p>
    <w:p>
      <w:pPr>
        <w:spacing w:line="276" w:lineRule="auto" w:before="120"/>
        <w:ind w:left="240" w:right="215" w:firstLine="0"/>
        <w:jc w:val="both"/>
        <w:rPr>
          <w:sz w:val="24"/>
        </w:rPr>
      </w:pPr>
      <w:r>
        <w:rPr>
          <w:sz w:val="24"/>
        </w:rPr>
        <w:t>Hays-Thomas, R. (2016). Managing Workplace Diversity and Inclusion. In </w:t>
      </w:r>
      <w:r>
        <w:rPr>
          <w:i/>
          <w:sz w:val="24"/>
        </w:rPr>
        <w:t>Managing Workplace Diversity and Inclusion</w:t>
      </w:r>
      <w:r>
        <w:rPr>
          <w:sz w:val="24"/>
        </w:rPr>
        <w:t>. https://doi.org/10.4324/9780203127049</w:t>
      </w:r>
    </w:p>
    <w:p>
      <w:pPr>
        <w:pStyle w:val="BodyText"/>
        <w:spacing w:line="276" w:lineRule="auto" w:before="119"/>
        <w:ind w:left="240" w:right="217"/>
        <w:jc w:val="both"/>
      </w:pPr>
      <w:r>
        <w:rPr/>
        <w:t>Henseler, J., Hubona, G., &amp; Ray, P. A. (2016). Using PLS path modeling in new technology research: Updated guidelines. </w:t>
      </w:r>
      <w:r>
        <w:rPr>
          <w:i/>
        </w:rPr>
        <w:t>Industrial </w:t>
      </w:r>
      <w:r>
        <w:rPr>
          <w:i/>
        </w:rPr>
        <w:t>Management and Data Systems</w:t>
      </w:r>
      <w:r>
        <w:rPr/>
        <w:t>, </w:t>
      </w:r>
      <w:r>
        <w:rPr>
          <w:i/>
        </w:rPr>
        <w:t>116</w:t>
      </w:r>
      <w:r>
        <w:rPr/>
        <w:t>(1), 2–20. https://doi.org/10.1108/IMDS-09-2015-0382</w:t>
      </w:r>
    </w:p>
    <w:p>
      <w:pPr>
        <w:pStyle w:val="BodyText"/>
        <w:spacing w:line="276" w:lineRule="auto" w:before="120"/>
        <w:ind w:left="240" w:right="217"/>
        <w:jc w:val="both"/>
      </w:pPr>
      <w:r>
        <w:rPr/>
        <w:t>Hills, C., Ryan, S., Warren-Forward, H., &amp; Smith, D. R. (2013). Managing “Generation Y” occupational therapists: Optimising their potential. </w:t>
      </w:r>
      <w:r>
        <w:rPr>
          <w:i/>
        </w:rPr>
        <w:t>Australian Occupational Therapy Journal</w:t>
      </w:r>
      <w:r>
        <w:rPr/>
        <w:t>, </w:t>
      </w:r>
      <w:r>
        <w:rPr>
          <w:i/>
        </w:rPr>
        <w:t>60</w:t>
      </w:r>
      <w:r>
        <w:rPr/>
        <w:t>(4), 267–275. https://doi.org/10.1111/1440-1630.12043</w:t>
      </w:r>
    </w:p>
    <w:p>
      <w:pPr>
        <w:spacing w:line="276" w:lineRule="auto" w:before="121"/>
        <w:ind w:left="240" w:right="214" w:firstLine="0"/>
        <w:jc w:val="both"/>
        <w:rPr>
          <w:sz w:val="24"/>
        </w:rPr>
      </w:pPr>
      <w:r>
        <w:rPr>
          <w:sz w:val="24"/>
        </w:rPr>
        <w:t>Hornsey, M. J. (2008). Social Identity Theory and Self-categorization Theory: A Historical Review. </w:t>
      </w:r>
      <w:r>
        <w:rPr>
          <w:i/>
          <w:sz w:val="24"/>
        </w:rPr>
        <w:t>Social and Personality Psychology </w:t>
      </w:r>
      <w:r>
        <w:rPr>
          <w:i/>
          <w:sz w:val="24"/>
        </w:rPr>
        <w:t>Compass</w:t>
      </w:r>
      <w:r>
        <w:rPr>
          <w:sz w:val="24"/>
        </w:rPr>
        <w:t>, </w:t>
      </w:r>
      <w:r>
        <w:rPr>
          <w:i/>
          <w:sz w:val="24"/>
        </w:rPr>
        <w:t>2</w:t>
      </w:r>
      <w:r>
        <w:rPr>
          <w:sz w:val="24"/>
        </w:rPr>
        <w:t>(1), 204–222. https://doi.org/10.1111/j.1751- 9004.2007.00066.x</w:t>
      </w:r>
    </w:p>
    <w:p>
      <w:pPr>
        <w:pStyle w:val="BodyText"/>
        <w:spacing w:line="276" w:lineRule="auto" w:before="120"/>
        <w:ind w:left="240" w:right="219"/>
        <w:jc w:val="both"/>
      </w:pPr>
      <w:r>
        <w:rPr/>
        <w:t>Jelenko, J. (2020). The Role of Intergenerational Differentiation in Perception of Employee Engagement and Job Satisfaction among Older and Younger Employees in Slovenia. </w:t>
      </w:r>
      <w:r>
        <w:rPr>
          <w:i/>
        </w:rPr>
        <w:t>Changing Societies </w:t>
      </w:r>
      <w:r>
        <w:rPr>
          <w:i/>
          <w:spacing w:val="-11"/>
        </w:rPr>
        <w:t>&amp; </w:t>
      </w:r>
      <w:r>
        <w:rPr>
          <w:i/>
        </w:rPr>
        <w:t>Personalities</w:t>
      </w:r>
      <w:r>
        <w:rPr/>
        <w:t>, </w:t>
      </w:r>
      <w:r>
        <w:rPr>
          <w:i/>
        </w:rPr>
        <w:t>4</w:t>
      </w:r>
      <w:r>
        <w:rPr/>
        <w:t>(1), 68–90.</w:t>
      </w:r>
      <w:r>
        <w:rPr>
          <w:spacing w:val="-4"/>
        </w:rPr>
        <w:t> </w:t>
      </w:r>
      <w:r>
        <w:rPr/>
        <w:t>https://doi.org/10.15826/csp.2020.4.1.090</w:t>
      </w:r>
    </w:p>
    <w:p>
      <w:pPr>
        <w:spacing w:line="276" w:lineRule="auto" w:before="120"/>
        <w:ind w:left="240" w:right="217" w:firstLine="0"/>
        <w:jc w:val="both"/>
        <w:rPr>
          <w:sz w:val="24"/>
        </w:rPr>
      </w:pPr>
      <w:r>
        <w:rPr>
          <w:sz w:val="24"/>
        </w:rPr>
        <w:t>Joshi, A., Dencker, J. C., &amp; Franz, G. (2011). Generations in organizations. </w:t>
      </w:r>
      <w:r>
        <w:rPr>
          <w:i/>
          <w:sz w:val="24"/>
        </w:rPr>
        <w:t>Research in Organizational Behavior</w:t>
      </w:r>
      <w:r>
        <w:rPr>
          <w:sz w:val="24"/>
        </w:rPr>
        <w:t>, Vol. 31, pp. 177–</w:t>
      </w:r>
    </w:p>
    <w:p>
      <w:pPr>
        <w:pStyle w:val="BodyText"/>
        <w:spacing w:before="7"/>
        <w:rPr>
          <w:sz w:val="26"/>
        </w:rPr>
      </w:pPr>
    </w:p>
    <w:p>
      <w:pPr>
        <w:spacing w:before="56"/>
        <w:ind w:left="225" w:right="203" w:firstLine="0"/>
        <w:jc w:val="center"/>
        <w:rPr>
          <w:rFonts w:ascii="Carlito"/>
          <w:sz w:val="22"/>
        </w:rPr>
      </w:pPr>
      <w:r>
        <w:rPr>
          <w:rFonts w:ascii="Carlito"/>
          <w:sz w:val="22"/>
        </w:rPr>
        <w:t>20</w:t>
      </w:r>
    </w:p>
    <w:p>
      <w:pPr>
        <w:spacing w:after="0"/>
        <w:jc w:val="center"/>
        <w:rPr>
          <w:rFonts w:ascii="Carlito"/>
          <w:sz w:val="22"/>
        </w:rPr>
        <w:sectPr>
          <w:pgSz w:w="9000" w:h="14040"/>
          <w:pgMar w:top="680" w:bottom="280" w:left="840" w:right="860"/>
        </w:sectPr>
      </w:pPr>
    </w:p>
    <w:p>
      <w:pPr>
        <w:tabs>
          <w:tab w:pos="4887" w:val="left" w:leader="none"/>
        </w:tabs>
        <w:spacing w:before="39"/>
        <w:ind w:left="240" w:right="0" w:firstLine="0"/>
        <w:jc w:val="left"/>
        <w:rPr>
          <w:rFonts w:ascii="Carlito"/>
          <w:b/>
          <w:sz w:val="22"/>
        </w:rPr>
      </w:pPr>
      <w:r>
        <w:rPr>
          <w:rFonts w:ascii="Carlito"/>
          <w:b/>
          <w:sz w:val="22"/>
        </w:rPr>
        <w:t>Kan</w:t>
      </w:r>
      <w:r>
        <w:rPr>
          <w:rFonts w:ascii="Carlito"/>
          <w:b/>
          <w:spacing w:val="-2"/>
          <w:sz w:val="22"/>
        </w:rPr>
        <w:t> </w:t>
      </w:r>
      <w:r>
        <w:rPr>
          <w:rFonts w:ascii="Carlito"/>
          <w:b/>
          <w:sz w:val="22"/>
        </w:rPr>
        <w:t>&amp;</w:t>
      </w:r>
      <w:r>
        <w:rPr>
          <w:rFonts w:ascii="Carlito"/>
          <w:b/>
          <w:spacing w:val="1"/>
          <w:sz w:val="22"/>
        </w:rPr>
        <w:t> </w:t>
      </w:r>
      <w:r>
        <w:rPr>
          <w:rFonts w:ascii="Carlito"/>
          <w:b/>
          <w:sz w:val="22"/>
        </w:rPr>
        <w:t>Gul</w:t>
        <w:tab/>
      </w:r>
      <w:r>
        <w:rPr>
          <w:rFonts w:ascii="Carlito"/>
          <w:b/>
          <w:i/>
          <w:sz w:val="22"/>
        </w:rPr>
        <w:t>JSS</w:t>
      </w:r>
      <w:r>
        <w:rPr>
          <w:rFonts w:ascii="Carlito"/>
          <w:b/>
          <w:sz w:val="22"/>
        </w:rPr>
        <w:t>, Vol.11, No. 1</w:t>
      </w:r>
      <w:r>
        <w:rPr>
          <w:rFonts w:ascii="Carlito"/>
          <w:b/>
          <w:spacing w:val="-8"/>
          <w:sz w:val="22"/>
        </w:rPr>
        <w:t> </w:t>
      </w:r>
      <w:r>
        <w:rPr>
          <w:rFonts w:ascii="Carlito"/>
          <w:b/>
          <w:sz w:val="22"/>
        </w:rPr>
        <w:t>(2020)</w:t>
      </w:r>
    </w:p>
    <w:p>
      <w:pPr>
        <w:pStyle w:val="BodyText"/>
        <w:spacing w:before="8"/>
        <w:rPr>
          <w:rFonts w:ascii="Carlito"/>
          <w:b/>
          <w:sz w:val="14"/>
        </w:rPr>
      </w:pPr>
    </w:p>
    <w:p>
      <w:pPr>
        <w:pStyle w:val="BodyText"/>
        <w:spacing w:before="90"/>
        <w:ind w:left="240"/>
        <w:jc w:val="both"/>
      </w:pPr>
      <w:r>
        <w:rPr/>
        <w:t>205. https://doi.org/10.1016/j.riob.2011.10.002</w:t>
      </w:r>
    </w:p>
    <w:p>
      <w:pPr>
        <w:pStyle w:val="BodyText"/>
        <w:spacing w:line="276" w:lineRule="auto" w:before="161"/>
        <w:ind w:left="240" w:right="217"/>
        <w:jc w:val="both"/>
      </w:pPr>
      <w:r>
        <w:rPr/>
        <w:t>King, S. P., &amp; Bryant, F. B. (2017). The Workplace Intergenerational Climate Scale (WICS): A self-report instrument measuring ageism in the workplace. </w:t>
      </w:r>
      <w:r>
        <w:rPr>
          <w:i/>
        </w:rPr>
        <w:t>Journal of Organizational Behavior</w:t>
      </w:r>
      <w:r>
        <w:rPr/>
        <w:t>, </w:t>
      </w:r>
      <w:r>
        <w:rPr>
          <w:i/>
        </w:rPr>
        <w:t>38</w:t>
      </w:r>
      <w:r>
        <w:rPr/>
        <w:t>(1), 124–151. https://doi.org/10.1002/job.2118</w:t>
      </w:r>
    </w:p>
    <w:p>
      <w:pPr>
        <w:pStyle w:val="BodyText"/>
        <w:spacing w:line="276" w:lineRule="auto" w:before="120"/>
        <w:ind w:left="240" w:right="222"/>
        <w:jc w:val="both"/>
      </w:pPr>
      <w:r>
        <w:rPr/>
        <w:t>Lafayette,</w:t>
      </w:r>
      <w:r>
        <w:rPr>
          <w:spacing w:val="-6"/>
        </w:rPr>
        <w:t> </w:t>
      </w:r>
      <w:r>
        <w:rPr/>
        <w:t>W.</w:t>
      </w:r>
      <w:r>
        <w:rPr>
          <w:spacing w:val="-4"/>
        </w:rPr>
        <w:t> </w:t>
      </w:r>
      <w:r>
        <w:rPr/>
        <w:t>(2006).</w:t>
      </w:r>
      <w:r>
        <w:rPr>
          <w:spacing w:val="-6"/>
        </w:rPr>
        <w:t> </w:t>
      </w:r>
      <w:r>
        <w:rPr/>
        <w:t>Strategic</w:t>
      </w:r>
      <w:r>
        <w:rPr>
          <w:spacing w:val="-7"/>
        </w:rPr>
        <w:t> </w:t>
      </w:r>
      <w:r>
        <w:rPr/>
        <w:t>networks</w:t>
      </w:r>
      <w:r>
        <w:rPr>
          <w:spacing w:val="-5"/>
        </w:rPr>
        <w:t> </w:t>
      </w:r>
      <w:r>
        <w:rPr/>
        <w:t>in</w:t>
      </w:r>
      <w:r>
        <w:rPr>
          <w:spacing w:val="-6"/>
        </w:rPr>
        <w:t> </w:t>
      </w:r>
      <w:r>
        <w:rPr/>
        <w:t>the</w:t>
      </w:r>
      <w:r>
        <w:rPr>
          <w:spacing w:val="-6"/>
        </w:rPr>
        <w:t> </w:t>
      </w:r>
      <w:r>
        <w:rPr/>
        <w:t>software</w:t>
      </w:r>
      <w:r>
        <w:rPr>
          <w:spacing w:val="-5"/>
        </w:rPr>
        <w:t> </w:t>
      </w:r>
      <w:r>
        <w:rPr/>
        <w:t>industry :</w:t>
      </w:r>
      <w:r>
        <w:rPr>
          <w:spacing w:val="-5"/>
        </w:rPr>
        <w:t> </w:t>
      </w:r>
      <w:r>
        <w:rPr>
          <w:spacing w:val="-23"/>
        </w:rPr>
        <w:t>An </w:t>
      </w:r>
      <w:r>
        <w:rPr/>
        <w:t>empirical analysis of the value continuum Michael Höck and Christian M . Ringle.</w:t>
      </w:r>
      <w:r>
        <w:rPr>
          <w:spacing w:val="-1"/>
        </w:rPr>
        <w:t> </w:t>
      </w:r>
      <w:r>
        <w:rPr>
          <w:i/>
        </w:rPr>
        <w:t>Networks</w:t>
      </w:r>
      <w:r>
        <w:rPr/>
        <w:t>.</w:t>
      </w:r>
    </w:p>
    <w:p>
      <w:pPr>
        <w:pStyle w:val="BodyText"/>
        <w:tabs>
          <w:tab w:pos="3603" w:val="left" w:leader="none"/>
          <w:tab w:pos="6179" w:val="left" w:leader="none"/>
        </w:tabs>
        <w:spacing w:line="276" w:lineRule="auto" w:before="122"/>
        <w:ind w:left="240" w:right="218"/>
        <w:jc w:val="both"/>
      </w:pPr>
      <w:r>
        <w:rPr/>
        <w:t>Lagacé, M., Van de Beeck, L., &amp; Firzly, N. (2019). Building on Intergenerational Climate to Counter Ageism in the Workplace? A Cross-Organizational Study. </w:t>
      </w:r>
      <w:r>
        <w:rPr>
          <w:i/>
        </w:rPr>
        <w:t>Journal of Intergenerational </w:t>
      </w:r>
      <w:r>
        <w:rPr>
          <w:i/>
        </w:rPr>
        <w:t>Relationships</w:t>
      </w:r>
      <w:r>
        <w:rPr/>
        <w:t>,</w:t>
        <w:tab/>
      </w:r>
      <w:r>
        <w:rPr>
          <w:i/>
        </w:rPr>
        <w:t>17</w:t>
      </w:r>
      <w:r>
        <w:rPr/>
        <w:t>(2),</w:t>
        <w:tab/>
      </w:r>
      <w:r>
        <w:rPr>
          <w:spacing w:val="-3"/>
        </w:rPr>
        <w:t>201–219. </w:t>
      </w:r>
      <w:r>
        <w:rPr/>
        <w:t>https://doi.org/10.1080/15350770.2018.1535346</w:t>
      </w:r>
    </w:p>
    <w:p>
      <w:pPr>
        <w:spacing w:line="276" w:lineRule="auto" w:before="119"/>
        <w:ind w:left="240" w:right="213" w:firstLine="0"/>
        <w:jc w:val="both"/>
        <w:rPr>
          <w:sz w:val="24"/>
        </w:rPr>
      </w:pPr>
      <w:r>
        <w:rPr>
          <w:sz w:val="24"/>
        </w:rPr>
        <w:t>Lober, D. (2017). </w:t>
      </w:r>
      <w:r>
        <w:rPr>
          <w:i/>
          <w:sz w:val="24"/>
        </w:rPr>
        <w:t>Self-Interest and Solidarity in the " Silver Age " of </w:t>
      </w:r>
      <w:r>
        <w:rPr>
          <w:i/>
          <w:sz w:val="24"/>
        </w:rPr>
        <w:t>the </w:t>
      </w:r>
      <w:r>
        <w:rPr>
          <w:i/>
          <w:spacing w:val="-25"/>
          <w:sz w:val="24"/>
        </w:rPr>
        <w:t> </w:t>
      </w:r>
      <w:r>
        <w:rPr>
          <w:i/>
          <w:spacing w:val="-1"/>
          <w:sz w:val="24"/>
        </w:rPr>
        <w:t>We</w:t>
      </w:r>
      <w:r>
        <w:rPr>
          <w:i/>
          <w:sz w:val="24"/>
        </w:rPr>
        <w:t>lfare </w:t>
      </w:r>
      <w:r>
        <w:rPr>
          <w:i/>
          <w:spacing w:val="-25"/>
          <w:sz w:val="24"/>
        </w:rPr>
        <w:t> </w:t>
      </w:r>
      <w:r>
        <w:rPr>
          <w:i/>
          <w:sz w:val="24"/>
        </w:rPr>
        <w:t>Stat</w:t>
      </w:r>
      <w:r>
        <w:rPr>
          <w:i/>
          <w:spacing w:val="-1"/>
          <w:sz w:val="24"/>
        </w:rPr>
        <w:t>e</w:t>
      </w:r>
      <w:r>
        <w:rPr>
          <w:i/>
          <w:spacing w:val="-1"/>
          <w:w w:val="48"/>
          <w:sz w:val="24"/>
        </w:rPr>
        <w:t> </w:t>
      </w:r>
      <w:r>
        <w:rPr>
          <w:i/>
          <w:w w:val="48"/>
          <w:sz w:val="24"/>
        </w:rPr>
        <w:t>:</w:t>
      </w:r>
      <w:r>
        <w:rPr>
          <w:i/>
          <w:sz w:val="24"/>
        </w:rPr>
        <w:t> </w:t>
      </w:r>
      <w:r>
        <w:rPr>
          <w:i/>
          <w:spacing w:val="-26"/>
          <w:sz w:val="24"/>
        </w:rPr>
        <w:t> </w:t>
      </w:r>
      <w:r>
        <w:rPr>
          <w:i/>
          <w:spacing w:val="-1"/>
          <w:sz w:val="24"/>
        </w:rPr>
        <w:t>Old</w:t>
      </w:r>
      <w:r>
        <w:rPr>
          <w:i/>
          <w:spacing w:val="1"/>
          <w:sz w:val="24"/>
        </w:rPr>
        <w:t>e</w:t>
      </w:r>
      <w:r>
        <w:rPr>
          <w:i/>
          <w:sz w:val="24"/>
        </w:rPr>
        <w:t>r </w:t>
      </w:r>
      <w:r>
        <w:rPr>
          <w:i/>
          <w:spacing w:val="-25"/>
          <w:sz w:val="24"/>
        </w:rPr>
        <w:t> </w:t>
      </w:r>
      <w:r>
        <w:rPr>
          <w:i/>
          <w:sz w:val="24"/>
        </w:rPr>
        <w:t>P</w:t>
      </w:r>
      <w:r>
        <w:rPr>
          <w:i/>
          <w:spacing w:val="-2"/>
          <w:sz w:val="24"/>
        </w:rPr>
        <w:t>e</w:t>
      </w:r>
      <w:r>
        <w:rPr>
          <w:i/>
          <w:sz w:val="24"/>
        </w:rPr>
        <w:t>ople </w:t>
      </w:r>
      <w:r>
        <w:rPr>
          <w:i/>
          <w:spacing w:val="-25"/>
          <w:sz w:val="24"/>
        </w:rPr>
        <w:t> </w:t>
      </w:r>
      <w:r>
        <w:rPr>
          <w:i/>
          <w:sz w:val="24"/>
        </w:rPr>
        <w:t>’ </w:t>
      </w:r>
      <w:r>
        <w:rPr>
          <w:i/>
          <w:spacing w:val="-25"/>
          <w:sz w:val="24"/>
        </w:rPr>
        <w:t> </w:t>
      </w:r>
      <w:r>
        <w:rPr>
          <w:i/>
          <w:sz w:val="24"/>
        </w:rPr>
        <w:t>s </w:t>
      </w:r>
      <w:r>
        <w:rPr>
          <w:i/>
          <w:spacing w:val="-25"/>
          <w:sz w:val="24"/>
        </w:rPr>
        <w:t> </w:t>
      </w:r>
      <w:r>
        <w:rPr>
          <w:i/>
          <w:sz w:val="24"/>
        </w:rPr>
        <w:t>Pr</w:t>
      </w:r>
      <w:r>
        <w:rPr>
          <w:i/>
          <w:spacing w:val="-1"/>
          <w:sz w:val="24"/>
        </w:rPr>
        <w:t>e</w:t>
      </w:r>
      <w:r>
        <w:rPr>
          <w:i/>
          <w:sz w:val="24"/>
        </w:rPr>
        <w:t>fer</w:t>
      </w:r>
      <w:r>
        <w:rPr>
          <w:i/>
          <w:spacing w:val="-2"/>
          <w:sz w:val="24"/>
        </w:rPr>
        <w:t>e</w:t>
      </w:r>
      <w:r>
        <w:rPr>
          <w:i/>
          <w:sz w:val="24"/>
        </w:rPr>
        <w:t>n</w:t>
      </w:r>
      <w:r>
        <w:rPr>
          <w:i/>
          <w:spacing w:val="1"/>
          <w:sz w:val="24"/>
        </w:rPr>
        <w:t>ce</w:t>
      </w:r>
      <w:r>
        <w:rPr>
          <w:i/>
          <w:sz w:val="24"/>
        </w:rPr>
        <w:t>s </w:t>
      </w:r>
      <w:r>
        <w:rPr>
          <w:i/>
          <w:spacing w:val="-25"/>
          <w:sz w:val="24"/>
        </w:rPr>
        <w:t> </w:t>
      </w:r>
      <w:r>
        <w:rPr>
          <w:i/>
          <w:sz w:val="24"/>
        </w:rPr>
        <w:t>for </w:t>
      </w:r>
      <w:r>
        <w:rPr>
          <w:i/>
          <w:spacing w:val="-24"/>
          <w:sz w:val="24"/>
        </w:rPr>
        <w:t> </w:t>
      </w:r>
      <w:r>
        <w:rPr>
          <w:i/>
          <w:spacing w:val="-2"/>
          <w:sz w:val="24"/>
        </w:rPr>
        <w:t>Yout</w:t>
      </w:r>
      <w:r>
        <w:rPr>
          <w:i/>
          <w:spacing w:val="3"/>
          <w:sz w:val="24"/>
        </w:rPr>
        <w:t>h</w:t>
      </w:r>
      <w:r>
        <w:rPr>
          <w:i/>
          <w:spacing w:val="-3"/>
          <w:sz w:val="24"/>
        </w:rPr>
        <w:t>-</w:t>
      </w:r>
      <w:r>
        <w:rPr>
          <w:i/>
          <w:spacing w:val="-2"/>
          <w:w w:val="99"/>
          <w:sz w:val="24"/>
        </w:rPr>
        <w:t>Ori</w:t>
      </w:r>
      <w:r>
        <w:rPr>
          <w:i/>
          <w:spacing w:val="-3"/>
          <w:w w:val="99"/>
          <w:sz w:val="24"/>
        </w:rPr>
        <w:t>e</w:t>
      </w:r>
      <w:r>
        <w:rPr>
          <w:i/>
          <w:spacing w:val="-2"/>
          <w:sz w:val="24"/>
        </w:rPr>
        <w:t>nted</w:t>
      </w:r>
      <w:r>
        <w:rPr>
          <w:i/>
          <w:sz w:val="24"/>
        </w:rPr>
        <w:t> Social Spending in Times of Scarce Resources presented by</w:t>
      </w:r>
      <w:r>
        <w:rPr>
          <w:sz w:val="24"/>
        </w:rPr>
        <w:t>. (October). Retrieved from http://nbn-resolving.de/urn:nbn:de:bsz:352-2- srnzsrd19cd77</w:t>
      </w:r>
    </w:p>
    <w:p>
      <w:pPr>
        <w:pStyle w:val="BodyText"/>
        <w:spacing w:line="276" w:lineRule="auto" w:before="120"/>
        <w:ind w:left="240" w:right="215"/>
        <w:jc w:val="both"/>
      </w:pPr>
      <w:r>
        <w:rPr/>
        <w:t>Lyons, S. T., Schweitzer, L., Urick, M. J., &amp; Kuron, L. (2019). A dynamic social-ecological model of generational identity in the workplace: Research. </w:t>
      </w:r>
      <w:r>
        <w:rPr>
          <w:i/>
        </w:rPr>
        <w:t>Journal of Intergenerational Relationships</w:t>
      </w:r>
      <w:r>
        <w:rPr/>
        <w:t>, </w:t>
      </w:r>
      <w:r>
        <w:rPr>
          <w:i/>
        </w:rPr>
        <w:t>17</w:t>
      </w:r>
      <w:r>
        <w:rPr/>
        <w:t>(1), 1–24.</w:t>
      </w:r>
      <w:r>
        <w:rPr>
          <w:spacing w:val="-1"/>
        </w:rPr>
        <w:t> </w:t>
      </w:r>
      <w:r>
        <w:rPr/>
        <w:t>https://doi.org/10.1080/15350770.2018.1500332</w:t>
      </w:r>
    </w:p>
    <w:p>
      <w:pPr>
        <w:spacing w:line="276" w:lineRule="auto" w:before="121"/>
        <w:ind w:left="240" w:right="219" w:firstLine="0"/>
        <w:jc w:val="both"/>
        <w:rPr>
          <w:sz w:val="24"/>
        </w:rPr>
      </w:pPr>
      <w:r>
        <w:rPr>
          <w:sz w:val="24"/>
        </w:rPr>
        <w:t>Mahutga, J. (2019). </w:t>
      </w:r>
      <w:r>
        <w:rPr>
          <w:i/>
          <w:sz w:val="24"/>
        </w:rPr>
        <w:t>The Generation Z Handbook: A Grounded Theory </w:t>
      </w:r>
      <w:r>
        <w:rPr>
          <w:i/>
          <w:sz w:val="24"/>
        </w:rPr>
        <w:t>Approach to The Generation Z Handbook: A Grounded Theory Approach to Motivation in the Workplace Motivation in the Workplace</w:t>
      </w:r>
      <w:r>
        <w:rPr>
          <w:sz w:val="24"/>
        </w:rPr>
        <w:t>. Retrieved from</w:t>
      </w:r>
      <w:r>
        <w:rPr>
          <w:spacing w:val="-2"/>
          <w:sz w:val="24"/>
        </w:rPr>
        <w:t> </w:t>
      </w:r>
      <w:r>
        <w:rPr>
          <w:sz w:val="24"/>
        </w:rPr>
        <w:t>https://openprairie.sdstate.edu/etd</w:t>
      </w:r>
    </w:p>
    <w:p>
      <w:pPr>
        <w:pStyle w:val="BodyText"/>
        <w:spacing w:line="276" w:lineRule="auto" w:before="120"/>
        <w:ind w:left="240" w:right="216"/>
        <w:jc w:val="both"/>
      </w:pPr>
      <w:r>
        <w:rPr/>
        <w:t>Memon, A. H., &amp; Rahman, I. A. (2014). SEM-PLS analysis of inhibiting factors of cost performance for large construction projects in malaysia: Perspective of clients and consultants. </w:t>
      </w:r>
      <w:r>
        <w:rPr>
          <w:i/>
        </w:rPr>
        <w:t>The Scientific World </w:t>
      </w:r>
      <w:r>
        <w:rPr>
          <w:i/>
        </w:rPr>
        <w:t>Journal</w:t>
      </w:r>
      <w:r>
        <w:rPr/>
        <w:t>, </w:t>
      </w:r>
      <w:r>
        <w:rPr>
          <w:i/>
        </w:rPr>
        <w:t>2014</w:t>
      </w:r>
      <w:r>
        <w:rPr/>
        <w:t>. https://doi.org/10.1155/2014/165158</w:t>
      </w:r>
    </w:p>
    <w:p>
      <w:pPr>
        <w:spacing w:line="276" w:lineRule="auto" w:before="120"/>
        <w:ind w:left="240" w:right="214" w:firstLine="0"/>
        <w:jc w:val="both"/>
        <w:rPr>
          <w:sz w:val="24"/>
        </w:rPr>
      </w:pPr>
      <w:r>
        <w:rPr>
          <w:sz w:val="24"/>
        </w:rPr>
        <w:t>Morrison, J. D. (2018). Determining the impact of mindfulness on stereotype threat in first-generation college students. </w:t>
      </w:r>
      <w:r>
        <w:rPr>
          <w:i/>
          <w:sz w:val="24"/>
        </w:rPr>
        <w:t>Dissertation </w:t>
      </w:r>
      <w:r>
        <w:rPr>
          <w:i/>
          <w:sz w:val="24"/>
        </w:rPr>
        <w:t>Abstracts International: Section B: The Sciences and Engineering</w:t>
      </w:r>
      <w:r>
        <w:rPr>
          <w:sz w:val="24"/>
        </w:rPr>
        <w:t>,</w:t>
      </w:r>
    </w:p>
    <w:p>
      <w:pPr>
        <w:spacing w:before="92"/>
        <w:ind w:left="225" w:right="203" w:firstLine="0"/>
        <w:jc w:val="center"/>
        <w:rPr>
          <w:rFonts w:ascii="Carlito"/>
          <w:sz w:val="22"/>
        </w:rPr>
      </w:pPr>
      <w:r>
        <w:rPr>
          <w:rFonts w:ascii="Carlito"/>
          <w:sz w:val="22"/>
        </w:rPr>
        <w:t>21</w:t>
      </w:r>
    </w:p>
    <w:p>
      <w:pPr>
        <w:spacing w:after="0"/>
        <w:jc w:val="center"/>
        <w:rPr>
          <w:rFonts w:ascii="Carlito"/>
          <w:sz w:val="22"/>
        </w:rPr>
        <w:sectPr>
          <w:pgSz w:w="9000" w:h="14040"/>
          <w:pgMar w:top="680" w:bottom="280" w:left="840" w:right="860"/>
        </w:sectPr>
      </w:pPr>
    </w:p>
    <w:p>
      <w:pPr>
        <w:tabs>
          <w:tab w:pos="4863" w:val="left" w:leader="none"/>
        </w:tabs>
        <w:spacing w:before="39"/>
        <w:ind w:left="240" w:right="0" w:firstLine="0"/>
        <w:jc w:val="left"/>
        <w:rPr>
          <w:rFonts w:ascii="Carlito"/>
          <w:b/>
          <w:sz w:val="22"/>
        </w:rPr>
      </w:pPr>
      <w:r>
        <w:rPr>
          <w:rFonts w:ascii="Carlito"/>
          <w:b/>
          <w:sz w:val="22"/>
        </w:rPr>
        <w:t>Lack of</w:t>
      </w:r>
      <w:r>
        <w:rPr>
          <w:rFonts w:ascii="Carlito"/>
          <w:b/>
          <w:spacing w:val="-5"/>
          <w:sz w:val="22"/>
        </w:rPr>
        <w:t> </w:t>
      </w:r>
      <w:r>
        <w:rPr>
          <w:rFonts w:ascii="Carlito"/>
          <w:b/>
          <w:sz w:val="22"/>
        </w:rPr>
        <w:t>Generational</w:t>
      </w:r>
      <w:r>
        <w:rPr>
          <w:rFonts w:ascii="Carlito"/>
          <w:b/>
          <w:spacing w:val="-4"/>
          <w:sz w:val="22"/>
        </w:rPr>
        <w:t> </w:t>
      </w:r>
      <w:r>
        <w:rPr>
          <w:rFonts w:ascii="Carlito"/>
          <w:b/>
          <w:sz w:val="22"/>
        </w:rPr>
        <w:t>Stereotypes</w:t>
        <w:tab/>
      </w:r>
      <w:r>
        <w:rPr>
          <w:rFonts w:ascii="Carlito"/>
          <w:b/>
          <w:i/>
          <w:sz w:val="22"/>
        </w:rPr>
        <w:t>JSS</w:t>
      </w:r>
      <w:r>
        <w:rPr>
          <w:rFonts w:ascii="Carlito"/>
          <w:b/>
          <w:sz w:val="22"/>
        </w:rPr>
        <w:t>, Vol.11, No. 1</w:t>
      </w:r>
      <w:r>
        <w:rPr>
          <w:rFonts w:ascii="Carlito"/>
          <w:b/>
          <w:spacing w:val="-7"/>
          <w:sz w:val="22"/>
        </w:rPr>
        <w:t> </w:t>
      </w:r>
      <w:r>
        <w:rPr>
          <w:rFonts w:ascii="Carlito"/>
          <w:b/>
          <w:sz w:val="22"/>
        </w:rPr>
        <w:t>(2020)</w:t>
      </w:r>
    </w:p>
    <w:p>
      <w:pPr>
        <w:pStyle w:val="BodyText"/>
        <w:spacing w:before="8"/>
        <w:rPr>
          <w:rFonts w:ascii="Carlito"/>
          <w:b/>
          <w:sz w:val="14"/>
        </w:rPr>
      </w:pPr>
    </w:p>
    <w:p>
      <w:pPr>
        <w:pStyle w:val="BodyText"/>
        <w:spacing w:before="90"/>
        <w:ind w:left="240"/>
        <w:jc w:val="both"/>
      </w:pPr>
      <w:r>
        <w:rPr>
          <w:i/>
        </w:rPr>
        <w:t>79</w:t>
      </w:r>
      <w:r>
        <w:rPr/>
        <w:t>(2-B(E)), No-Specified. Retrieved from</w:t>
      </w:r>
    </w:p>
    <w:p>
      <w:pPr>
        <w:pStyle w:val="BodyText"/>
        <w:tabs>
          <w:tab w:pos="2455" w:val="left" w:leader="none"/>
          <w:tab w:pos="4556" w:val="left" w:leader="none"/>
          <w:tab w:pos="6298" w:val="left" w:leader="none"/>
        </w:tabs>
        <w:spacing w:line="276" w:lineRule="auto" w:before="161"/>
        <w:ind w:left="240" w:right="218"/>
        <w:jc w:val="both"/>
      </w:pPr>
      <w:r>
        <w:rPr/>
        <w:t>Morrow, P. C., McElroy, J. C., &amp; Scheibe, K. P. (2012). Influencing organizational commitment through office redesign. </w:t>
      </w:r>
      <w:r>
        <w:rPr>
          <w:i/>
        </w:rPr>
        <w:t>Journal of </w:t>
      </w:r>
      <w:r>
        <w:rPr>
          <w:i/>
        </w:rPr>
        <w:t>Vocational</w:t>
        <w:tab/>
        <w:t>Behavior</w:t>
      </w:r>
      <w:r>
        <w:rPr/>
        <w:t>,</w:t>
        <w:tab/>
      </w:r>
      <w:r>
        <w:rPr>
          <w:i/>
        </w:rPr>
        <w:t>81</w:t>
      </w:r>
      <w:r>
        <w:rPr/>
        <w:t>(1),</w:t>
        <w:tab/>
      </w:r>
      <w:r>
        <w:rPr>
          <w:spacing w:val="-3"/>
        </w:rPr>
        <w:t>99–111. </w:t>
      </w:r>
      <w:r>
        <w:rPr/>
        <w:t>https://doi.org/10.1016/j.jvb.2012.05.004</w:t>
      </w:r>
    </w:p>
    <w:p>
      <w:pPr>
        <w:spacing w:line="276" w:lineRule="auto" w:before="120"/>
        <w:ind w:left="240" w:right="214" w:firstLine="0"/>
        <w:jc w:val="both"/>
        <w:rPr>
          <w:sz w:val="24"/>
        </w:rPr>
      </w:pPr>
      <w:r>
        <w:rPr>
          <w:sz w:val="24"/>
        </w:rPr>
        <w:t>Stanton, R. (2017). Communicating with Employees: Resisting the Stereotypes of Generational Cohorts in the Workplace. </w:t>
      </w:r>
      <w:r>
        <w:rPr>
          <w:i/>
          <w:sz w:val="24"/>
        </w:rPr>
        <w:t>IEEE </w:t>
      </w:r>
      <w:r>
        <w:rPr>
          <w:i/>
          <w:sz w:val="24"/>
        </w:rPr>
        <w:t>Transactions on Professional Communication</w:t>
      </w:r>
      <w:r>
        <w:rPr>
          <w:sz w:val="24"/>
        </w:rPr>
        <w:t>, </w:t>
      </w:r>
      <w:r>
        <w:rPr>
          <w:i/>
          <w:sz w:val="24"/>
        </w:rPr>
        <w:t>60</w:t>
      </w:r>
      <w:r>
        <w:rPr>
          <w:sz w:val="24"/>
        </w:rPr>
        <w:t>(3), 256–272. https://doi.org/10.1109/TPC.2017.2702078</w:t>
      </w:r>
    </w:p>
    <w:p>
      <w:pPr>
        <w:pStyle w:val="BodyText"/>
        <w:spacing w:line="276" w:lineRule="auto" w:before="121"/>
        <w:ind w:left="240" w:right="218"/>
        <w:jc w:val="both"/>
      </w:pPr>
      <w:r>
        <w:rPr/>
        <w:t>Stewart, J. S., Oliver, E. G., Cravens, K. S., &amp; Oishi, S. (2017). Managing millennials: Embracing generational differences. </w:t>
      </w:r>
      <w:r>
        <w:rPr>
          <w:i/>
        </w:rPr>
        <w:t>Business </w:t>
      </w:r>
      <w:r>
        <w:rPr>
          <w:i/>
        </w:rPr>
        <w:t>Horizons</w:t>
      </w:r>
      <w:r>
        <w:rPr/>
        <w:t>, </w:t>
      </w:r>
      <w:r>
        <w:rPr>
          <w:i/>
        </w:rPr>
        <w:t>60</w:t>
      </w:r>
      <w:r>
        <w:rPr/>
        <w:t>(1), 45–54. https://doi.org/10.1016/j.bushor.2016.08.011</w:t>
      </w:r>
    </w:p>
    <w:p>
      <w:pPr>
        <w:pStyle w:val="BodyText"/>
        <w:spacing w:line="276" w:lineRule="auto" w:before="121"/>
        <w:ind w:left="240" w:right="219"/>
        <w:jc w:val="both"/>
      </w:pPr>
      <w:r>
        <w:rPr/>
        <w:t>Torsello, D. (2019). Generation Y workers: An empirical framework for cultural and organizational aspects. </w:t>
      </w:r>
      <w:r>
        <w:rPr>
          <w:i/>
        </w:rPr>
        <w:t>Employee Relations</w:t>
      </w:r>
      <w:r>
        <w:rPr/>
        <w:t>, </w:t>
      </w:r>
      <w:r>
        <w:rPr>
          <w:i/>
        </w:rPr>
        <w:t>41</w:t>
      </w:r>
      <w:r>
        <w:rPr/>
        <w:t>(6), 1330–1347. https://doi.org/10.1108/ER-03-2018-0083</w:t>
      </w:r>
    </w:p>
    <w:p>
      <w:pPr>
        <w:spacing w:line="276" w:lineRule="auto" w:before="118"/>
        <w:ind w:left="240" w:right="219" w:firstLine="0"/>
        <w:jc w:val="both"/>
        <w:rPr>
          <w:sz w:val="24"/>
        </w:rPr>
      </w:pPr>
      <w:r>
        <w:rPr>
          <w:sz w:val="24"/>
        </w:rPr>
        <w:t>Treffler, J., &amp; Herzig, A. (2018). </w:t>
      </w:r>
      <w:r>
        <w:rPr>
          <w:i/>
          <w:sz w:val="24"/>
        </w:rPr>
        <w:t>Cohabitation in multigenerational </w:t>
      </w:r>
      <w:r>
        <w:rPr>
          <w:i/>
          <w:sz w:val="24"/>
        </w:rPr>
        <w:t>workplaces: Leader-follower relationships between Millennials and Baby Boomers</w:t>
      </w:r>
      <w:r>
        <w:rPr>
          <w:sz w:val="24"/>
        </w:rPr>
        <w:t>. Retrieved from http://www.diva-</w:t>
      </w:r>
    </w:p>
    <w:p>
      <w:pPr>
        <w:pStyle w:val="BodyText"/>
        <w:spacing w:line="276" w:lineRule="auto" w:before="121"/>
        <w:ind w:left="240" w:right="213"/>
        <w:jc w:val="both"/>
      </w:pPr>
      <w:r>
        <w:rPr/>
        <w:t>Urick, M. J., Hollensbe, E. C., Masterson, S. S., &amp; Lyons, S.  T. (2017). Understanding and managing intergenerational conflict: An examination of influences and strategies. </w:t>
      </w:r>
      <w:r>
        <w:rPr>
          <w:i/>
        </w:rPr>
        <w:t>Work, Aging and Retirement</w:t>
      </w:r>
      <w:r>
        <w:rPr/>
        <w:t>, </w:t>
      </w:r>
      <w:r>
        <w:rPr>
          <w:i/>
        </w:rPr>
        <w:t>3</w:t>
      </w:r>
      <w:r>
        <w:rPr/>
        <w:t>(2), 166–185.</w:t>
      </w:r>
      <w:r>
        <w:rPr>
          <w:spacing w:val="-1"/>
        </w:rPr>
        <w:t> </w:t>
      </w:r>
      <w:r>
        <w:rPr/>
        <w:t>https://doi.org/10.1093/workar/waw009</w:t>
      </w:r>
    </w:p>
    <w:p>
      <w:pPr>
        <w:pStyle w:val="BodyText"/>
        <w:spacing w:line="276" w:lineRule="auto" w:before="121"/>
        <w:ind w:left="240" w:right="218"/>
        <w:jc w:val="both"/>
      </w:pPr>
      <w:r>
        <w:rPr/>
        <w:t>Vosters, K., &amp; Nybom, M. (2017). Intergenerational persistence in latent socioeconomic status: Evidence from Sweden and the United States. </w:t>
      </w:r>
      <w:r>
        <w:rPr>
          <w:i/>
        </w:rPr>
        <w:t>Journal of Labor Economics</w:t>
      </w:r>
      <w:r>
        <w:rPr/>
        <w:t>, </w:t>
      </w:r>
      <w:r>
        <w:rPr>
          <w:i/>
        </w:rPr>
        <w:t>35</w:t>
      </w:r>
      <w:r>
        <w:rPr/>
        <w:t>(3), 869–901. https://doi.org/10.1086/690827</w:t>
      </w:r>
    </w:p>
    <w:p>
      <w:pPr>
        <w:pStyle w:val="BodyText"/>
        <w:spacing w:line="276" w:lineRule="auto" w:before="120"/>
        <w:ind w:left="240" w:right="217"/>
        <w:jc w:val="both"/>
      </w:pPr>
      <w:r>
        <w:rPr/>
        <w:t>Warshawski, S., Barnoy, S., &amp; Kagan, I. (2017). Professional, generational, and gender differences in perception of organisational values among Israeli physicians and nurses: Implications for retention. </w:t>
      </w:r>
      <w:r>
        <w:rPr>
          <w:i/>
        </w:rPr>
        <w:t>Journal of Interprofessional Care</w:t>
      </w:r>
      <w:r>
        <w:rPr/>
        <w:t>, </w:t>
      </w:r>
      <w:r>
        <w:rPr>
          <w:i/>
        </w:rPr>
        <w:t>31</w:t>
      </w:r>
      <w:r>
        <w:rPr/>
        <w:t>(6), 696–704. https://doi.org/10.1080/13561820.2017.1355780</w:t>
      </w:r>
    </w:p>
    <w:p>
      <w:pPr>
        <w:pStyle w:val="BodyText"/>
        <w:spacing w:line="276" w:lineRule="auto" w:before="120"/>
        <w:ind w:left="240" w:right="217"/>
        <w:jc w:val="both"/>
        <w:rPr>
          <w:i/>
        </w:rPr>
      </w:pPr>
      <w:r>
        <w:rPr/>
        <w:t>Weeks, K. P., &amp; Schaffert, C. (2019). Generational Differences in Definitions of Meaningful Work: A Mixed Methods Study. </w:t>
      </w:r>
      <w:r>
        <w:rPr>
          <w:i/>
        </w:rPr>
        <w:t>Journal of</w:t>
      </w:r>
    </w:p>
    <w:p>
      <w:pPr>
        <w:pStyle w:val="BodyText"/>
        <w:spacing w:before="1"/>
        <w:rPr>
          <w:i/>
          <w:sz w:val="16"/>
        </w:rPr>
      </w:pPr>
    </w:p>
    <w:p>
      <w:pPr>
        <w:spacing w:before="56"/>
        <w:ind w:left="225" w:right="203" w:firstLine="0"/>
        <w:jc w:val="center"/>
        <w:rPr>
          <w:rFonts w:ascii="Carlito"/>
          <w:sz w:val="22"/>
        </w:rPr>
      </w:pPr>
      <w:r>
        <w:rPr>
          <w:rFonts w:ascii="Carlito"/>
          <w:sz w:val="22"/>
        </w:rPr>
        <w:t>22</w:t>
      </w:r>
    </w:p>
    <w:p>
      <w:pPr>
        <w:spacing w:after="0"/>
        <w:jc w:val="center"/>
        <w:rPr>
          <w:rFonts w:ascii="Carlito"/>
          <w:sz w:val="22"/>
        </w:rPr>
        <w:sectPr>
          <w:pgSz w:w="9000" w:h="14040"/>
          <w:pgMar w:top="680" w:bottom="280" w:left="840" w:right="860"/>
        </w:sectPr>
      </w:pPr>
    </w:p>
    <w:p>
      <w:pPr>
        <w:tabs>
          <w:tab w:pos="4887" w:val="left" w:leader="none"/>
        </w:tabs>
        <w:spacing w:before="39"/>
        <w:ind w:left="240" w:right="0" w:firstLine="0"/>
        <w:jc w:val="left"/>
        <w:rPr>
          <w:rFonts w:ascii="Carlito"/>
          <w:b/>
          <w:sz w:val="22"/>
        </w:rPr>
      </w:pPr>
      <w:r>
        <w:rPr>
          <w:rFonts w:ascii="Carlito"/>
          <w:b/>
          <w:sz w:val="22"/>
        </w:rPr>
        <w:t>Kan</w:t>
      </w:r>
      <w:r>
        <w:rPr>
          <w:rFonts w:ascii="Carlito"/>
          <w:b/>
          <w:spacing w:val="-2"/>
          <w:sz w:val="22"/>
        </w:rPr>
        <w:t> </w:t>
      </w:r>
      <w:r>
        <w:rPr>
          <w:rFonts w:ascii="Carlito"/>
          <w:b/>
          <w:sz w:val="22"/>
        </w:rPr>
        <w:t>&amp;</w:t>
      </w:r>
      <w:r>
        <w:rPr>
          <w:rFonts w:ascii="Carlito"/>
          <w:b/>
          <w:spacing w:val="1"/>
          <w:sz w:val="22"/>
        </w:rPr>
        <w:t> </w:t>
      </w:r>
      <w:r>
        <w:rPr>
          <w:rFonts w:ascii="Carlito"/>
          <w:b/>
          <w:sz w:val="22"/>
        </w:rPr>
        <w:t>Gul</w:t>
        <w:tab/>
      </w:r>
      <w:r>
        <w:rPr>
          <w:rFonts w:ascii="Carlito"/>
          <w:b/>
          <w:i/>
          <w:sz w:val="22"/>
        </w:rPr>
        <w:t>JSS</w:t>
      </w:r>
      <w:r>
        <w:rPr>
          <w:rFonts w:ascii="Carlito"/>
          <w:b/>
          <w:sz w:val="22"/>
        </w:rPr>
        <w:t>, Vol.11, No. 1</w:t>
      </w:r>
      <w:r>
        <w:rPr>
          <w:rFonts w:ascii="Carlito"/>
          <w:b/>
          <w:spacing w:val="-14"/>
          <w:sz w:val="22"/>
        </w:rPr>
        <w:t> </w:t>
      </w:r>
      <w:r>
        <w:rPr>
          <w:rFonts w:ascii="Carlito"/>
          <w:b/>
          <w:sz w:val="22"/>
        </w:rPr>
        <w:t>(2020)</w:t>
      </w:r>
    </w:p>
    <w:p>
      <w:pPr>
        <w:pStyle w:val="BodyText"/>
        <w:spacing w:before="8"/>
        <w:rPr>
          <w:rFonts w:ascii="Carlito"/>
          <w:b/>
          <w:sz w:val="14"/>
        </w:rPr>
      </w:pPr>
    </w:p>
    <w:p>
      <w:pPr>
        <w:spacing w:before="90"/>
        <w:ind w:left="240" w:right="0" w:firstLine="0"/>
        <w:jc w:val="left"/>
        <w:rPr>
          <w:sz w:val="24"/>
        </w:rPr>
      </w:pPr>
      <w:r>
        <w:rPr>
          <w:i/>
          <w:sz w:val="24"/>
        </w:rPr>
        <w:t>Business  Ethics</w:t>
      </w:r>
      <w:r>
        <w:rPr>
          <w:sz w:val="24"/>
        </w:rPr>
        <w:t>,  </w:t>
      </w:r>
      <w:r>
        <w:rPr>
          <w:i/>
          <w:sz w:val="24"/>
        </w:rPr>
        <w:t>156</w:t>
      </w:r>
      <w:r>
        <w:rPr>
          <w:sz w:val="24"/>
        </w:rPr>
        <w:t>(4),  1045–1061.</w:t>
      </w:r>
      <w:r>
        <w:rPr>
          <w:spacing w:val="38"/>
          <w:sz w:val="24"/>
        </w:rPr>
        <w:t> </w:t>
      </w:r>
      <w:r>
        <w:rPr>
          <w:sz w:val="24"/>
        </w:rPr>
        <w:t>https://doi.org/10.1007/s10551-</w:t>
      </w:r>
    </w:p>
    <w:p>
      <w:pPr>
        <w:pStyle w:val="BodyText"/>
        <w:spacing w:before="41"/>
        <w:ind w:left="240"/>
      </w:pPr>
      <w:r>
        <w:rPr/>
        <w:t>017-3621-4</w:t>
      </w:r>
    </w:p>
    <w:p>
      <w:pPr>
        <w:pStyle w:val="BodyText"/>
        <w:spacing w:line="276" w:lineRule="auto" w:before="161"/>
        <w:ind w:left="240" w:right="217"/>
        <w:jc w:val="both"/>
      </w:pPr>
      <w:r>
        <w:rPr/>
        <w:t>Wieck, K. L., Dols, J., &amp; Landrum, P. (2010). Retention priorities for the intergenerational nurse workforce. </w:t>
      </w:r>
      <w:r>
        <w:rPr>
          <w:i/>
        </w:rPr>
        <w:t>Nursing Forum</w:t>
      </w:r>
      <w:r>
        <w:rPr/>
        <w:t>, </w:t>
      </w:r>
      <w:r>
        <w:rPr>
          <w:i/>
        </w:rPr>
        <w:t>45</w:t>
      </w:r>
      <w:r>
        <w:rPr/>
        <w:t>(1), 7–17. https://doi.org/10.1111/j.1744-6198.2009.00159.x</w:t>
      </w:r>
    </w:p>
    <w:p>
      <w:pPr>
        <w:pStyle w:val="BodyText"/>
        <w:spacing w:line="276" w:lineRule="auto" w:before="121"/>
        <w:ind w:left="240" w:right="218"/>
        <w:jc w:val="both"/>
      </w:pPr>
      <w:r>
        <w:rPr/>
        <w:t>Zabel, K. L., Biermeier-Hanson, B. B. J., Baltes, B. B., Early, B. J., &amp; Shepard, A. (2017). Generational Differences in Work Ethic: Fact or Fiction? </w:t>
      </w:r>
      <w:r>
        <w:rPr>
          <w:i/>
        </w:rPr>
        <w:t>Journal of Business and Psychology</w:t>
      </w:r>
      <w:r>
        <w:rPr/>
        <w:t>, </w:t>
      </w:r>
      <w:r>
        <w:rPr>
          <w:i/>
        </w:rPr>
        <w:t>32</w:t>
      </w:r>
      <w:r>
        <w:rPr/>
        <w:t>(3), 301–315. https://doi.org/10.1007/s10869-0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spacing w:before="57"/>
        <w:ind w:left="225" w:right="203" w:firstLine="0"/>
        <w:jc w:val="center"/>
        <w:rPr>
          <w:rFonts w:ascii="Carlito"/>
          <w:sz w:val="22"/>
        </w:rPr>
      </w:pPr>
      <w:r>
        <w:rPr>
          <w:rFonts w:ascii="Carlito"/>
          <w:sz w:val="22"/>
        </w:rPr>
        <w:t>23</w:t>
      </w:r>
    </w:p>
    <w:sectPr>
      <w:pgSz w:w="9000" w:h="14040"/>
      <w:pgMar w:top="680" w:bottom="280" w:left="84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4"/>
      <w:numFmt w:val="decimal"/>
      <w:lvlText w:val="%1"/>
      <w:lvlJc w:val="left"/>
      <w:pPr>
        <w:ind w:left="600" w:hanging="360"/>
        <w:jc w:val="left"/>
      </w:pPr>
      <w:rPr>
        <w:rFonts w:hint="default"/>
        <w:lang w:val="en-US" w:eastAsia="en-US" w:bidi="ar-SA"/>
      </w:rPr>
    </w:lvl>
    <w:lvl w:ilvl="1">
      <w:start w:val="1"/>
      <w:numFmt w:val="decimal"/>
      <w:lvlText w:val="%1.%2"/>
      <w:lvlJc w:val="left"/>
      <w:pPr>
        <w:ind w:left="600" w:hanging="360"/>
        <w:jc w:val="left"/>
      </w:pPr>
      <w:rPr>
        <w:rFonts w:hint="default" w:ascii="Times New Roman" w:hAnsi="Times New Roman" w:eastAsia="Times New Roman" w:cs="Times New Roman"/>
        <w:b/>
        <w:bCs/>
        <w:spacing w:val="-2"/>
        <w:w w:val="99"/>
        <w:sz w:val="24"/>
        <w:szCs w:val="24"/>
        <w:lang w:val="en-US" w:eastAsia="en-US" w:bidi="ar-SA"/>
      </w:rPr>
    </w:lvl>
    <w:lvl w:ilvl="2">
      <w:start w:val="1"/>
      <w:numFmt w:val="decimal"/>
      <w:lvlText w:val="%1.%2.%3"/>
      <w:lvlJc w:val="left"/>
      <w:pPr>
        <w:ind w:left="780" w:hanging="540"/>
        <w:jc w:val="left"/>
      </w:pPr>
      <w:rPr>
        <w:rFonts w:hint="default" w:ascii="Times New Roman" w:hAnsi="Times New Roman" w:eastAsia="Times New Roman" w:cs="Times New Roman"/>
        <w:b/>
        <w:bCs/>
        <w:spacing w:val="-4"/>
        <w:w w:val="99"/>
        <w:sz w:val="24"/>
        <w:szCs w:val="24"/>
        <w:lang w:val="en-US" w:eastAsia="en-US" w:bidi="ar-SA"/>
      </w:rPr>
    </w:lvl>
    <w:lvl w:ilvl="3">
      <w:start w:val="0"/>
      <w:numFmt w:val="bullet"/>
      <w:lvlText w:val="•"/>
      <w:lvlJc w:val="left"/>
      <w:pPr>
        <w:ind w:left="2228" w:hanging="540"/>
      </w:pPr>
      <w:rPr>
        <w:rFonts w:hint="default"/>
        <w:lang w:val="en-US" w:eastAsia="en-US" w:bidi="ar-SA"/>
      </w:rPr>
    </w:lvl>
    <w:lvl w:ilvl="4">
      <w:start w:val="0"/>
      <w:numFmt w:val="bullet"/>
      <w:lvlText w:val="•"/>
      <w:lvlJc w:val="left"/>
      <w:pPr>
        <w:ind w:left="2953" w:hanging="540"/>
      </w:pPr>
      <w:rPr>
        <w:rFonts w:hint="default"/>
        <w:lang w:val="en-US" w:eastAsia="en-US" w:bidi="ar-SA"/>
      </w:rPr>
    </w:lvl>
    <w:lvl w:ilvl="5">
      <w:start w:val="0"/>
      <w:numFmt w:val="bullet"/>
      <w:lvlText w:val="•"/>
      <w:lvlJc w:val="left"/>
      <w:pPr>
        <w:ind w:left="3677" w:hanging="540"/>
      </w:pPr>
      <w:rPr>
        <w:rFonts w:hint="default"/>
        <w:lang w:val="en-US" w:eastAsia="en-US" w:bidi="ar-SA"/>
      </w:rPr>
    </w:lvl>
    <w:lvl w:ilvl="6">
      <w:start w:val="0"/>
      <w:numFmt w:val="bullet"/>
      <w:lvlText w:val="•"/>
      <w:lvlJc w:val="left"/>
      <w:pPr>
        <w:ind w:left="4402" w:hanging="540"/>
      </w:pPr>
      <w:rPr>
        <w:rFonts w:hint="default"/>
        <w:lang w:val="en-US" w:eastAsia="en-US" w:bidi="ar-SA"/>
      </w:rPr>
    </w:lvl>
    <w:lvl w:ilvl="7">
      <w:start w:val="0"/>
      <w:numFmt w:val="bullet"/>
      <w:lvlText w:val="•"/>
      <w:lvlJc w:val="left"/>
      <w:pPr>
        <w:ind w:left="5126" w:hanging="540"/>
      </w:pPr>
      <w:rPr>
        <w:rFonts w:hint="default"/>
        <w:lang w:val="en-US" w:eastAsia="en-US" w:bidi="ar-SA"/>
      </w:rPr>
    </w:lvl>
    <w:lvl w:ilvl="8">
      <w:start w:val="0"/>
      <w:numFmt w:val="bullet"/>
      <w:lvlText w:val="•"/>
      <w:lvlJc w:val="left"/>
      <w:pPr>
        <w:ind w:left="5851" w:hanging="540"/>
      </w:pPr>
      <w:rPr>
        <w:rFonts w:hint="default"/>
        <w:lang w:val="en-US" w:eastAsia="en-US" w:bidi="ar-SA"/>
      </w:rPr>
    </w:lvl>
  </w:abstractNum>
  <w:abstractNum w:abstractNumId="2">
    <w:multiLevelType w:val="hybridMultilevel"/>
    <w:lvl w:ilvl="0">
      <w:start w:val="3"/>
      <w:numFmt w:val="decimal"/>
      <w:lvlText w:val="%1"/>
      <w:lvlJc w:val="left"/>
      <w:pPr>
        <w:ind w:left="600" w:hanging="360"/>
        <w:jc w:val="left"/>
      </w:pPr>
      <w:rPr>
        <w:rFonts w:hint="default"/>
        <w:lang w:val="en-US" w:eastAsia="en-US" w:bidi="ar-SA"/>
      </w:rPr>
    </w:lvl>
    <w:lvl w:ilvl="1">
      <w:start w:val="2"/>
      <w:numFmt w:val="decimal"/>
      <w:lvlText w:val="%1.%2"/>
      <w:lvlJc w:val="left"/>
      <w:pPr>
        <w:ind w:left="600" w:hanging="360"/>
        <w:jc w:val="left"/>
      </w:pPr>
      <w:rPr>
        <w:rFonts w:hint="default" w:ascii="Times New Roman" w:hAnsi="Times New Roman" w:eastAsia="Times New Roman" w:cs="Times New Roman"/>
        <w:b/>
        <w:bCs/>
        <w:spacing w:val="-2"/>
        <w:w w:val="99"/>
        <w:sz w:val="24"/>
        <w:szCs w:val="24"/>
        <w:lang w:val="en-US" w:eastAsia="en-US" w:bidi="ar-SA"/>
      </w:rPr>
    </w:lvl>
    <w:lvl w:ilvl="2">
      <w:start w:val="1"/>
      <w:numFmt w:val="decimal"/>
      <w:lvlText w:val="%1.%2.%3."/>
      <w:lvlJc w:val="left"/>
      <w:pPr>
        <w:ind w:left="840" w:hanging="600"/>
        <w:jc w:val="left"/>
      </w:pPr>
      <w:rPr>
        <w:rFonts w:hint="default" w:ascii="Times New Roman" w:hAnsi="Times New Roman" w:eastAsia="Times New Roman" w:cs="Times New Roman"/>
        <w:b/>
        <w:bCs/>
        <w:spacing w:val="-1"/>
        <w:w w:val="99"/>
        <w:sz w:val="24"/>
        <w:szCs w:val="24"/>
        <w:lang w:val="en-US" w:eastAsia="en-US" w:bidi="ar-SA"/>
      </w:rPr>
    </w:lvl>
    <w:lvl w:ilvl="3">
      <w:start w:val="0"/>
      <w:numFmt w:val="bullet"/>
      <w:lvlText w:val="•"/>
      <w:lvlJc w:val="left"/>
      <w:pPr>
        <w:ind w:left="2275" w:hanging="600"/>
      </w:pPr>
      <w:rPr>
        <w:rFonts w:hint="default"/>
        <w:lang w:val="en-US" w:eastAsia="en-US" w:bidi="ar-SA"/>
      </w:rPr>
    </w:lvl>
    <w:lvl w:ilvl="4">
      <w:start w:val="0"/>
      <w:numFmt w:val="bullet"/>
      <w:lvlText w:val="•"/>
      <w:lvlJc w:val="left"/>
      <w:pPr>
        <w:ind w:left="2993" w:hanging="600"/>
      </w:pPr>
      <w:rPr>
        <w:rFonts w:hint="default"/>
        <w:lang w:val="en-US" w:eastAsia="en-US" w:bidi="ar-SA"/>
      </w:rPr>
    </w:lvl>
    <w:lvl w:ilvl="5">
      <w:start w:val="0"/>
      <w:numFmt w:val="bullet"/>
      <w:lvlText w:val="•"/>
      <w:lvlJc w:val="left"/>
      <w:pPr>
        <w:ind w:left="3711" w:hanging="600"/>
      </w:pPr>
      <w:rPr>
        <w:rFonts w:hint="default"/>
        <w:lang w:val="en-US" w:eastAsia="en-US" w:bidi="ar-SA"/>
      </w:rPr>
    </w:lvl>
    <w:lvl w:ilvl="6">
      <w:start w:val="0"/>
      <w:numFmt w:val="bullet"/>
      <w:lvlText w:val="•"/>
      <w:lvlJc w:val="left"/>
      <w:pPr>
        <w:ind w:left="4428" w:hanging="600"/>
      </w:pPr>
      <w:rPr>
        <w:rFonts w:hint="default"/>
        <w:lang w:val="en-US" w:eastAsia="en-US" w:bidi="ar-SA"/>
      </w:rPr>
    </w:lvl>
    <w:lvl w:ilvl="7">
      <w:start w:val="0"/>
      <w:numFmt w:val="bullet"/>
      <w:lvlText w:val="•"/>
      <w:lvlJc w:val="left"/>
      <w:pPr>
        <w:ind w:left="5146" w:hanging="600"/>
      </w:pPr>
      <w:rPr>
        <w:rFonts w:hint="default"/>
        <w:lang w:val="en-US" w:eastAsia="en-US" w:bidi="ar-SA"/>
      </w:rPr>
    </w:lvl>
    <w:lvl w:ilvl="8">
      <w:start w:val="0"/>
      <w:numFmt w:val="bullet"/>
      <w:lvlText w:val="•"/>
      <w:lvlJc w:val="left"/>
      <w:pPr>
        <w:ind w:left="5864" w:hanging="600"/>
      </w:pPr>
      <w:rPr>
        <w:rFonts w:hint="default"/>
        <w:lang w:val="en-US" w:eastAsia="en-US" w:bidi="ar-SA"/>
      </w:rPr>
    </w:lvl>
  </w:abstractNum>
  <w:abstractNum w:abstractNumId="1">
    <w:multiLevelType w:val="hybridMultilevel"/>
    <w:lvl w:ilvl="0">
      <w:start w:val="2"/>
      <w:numFmt w:val="decimal"/>
      <w:lvlText w:val="%1"/>
      <w:lvlJc w:val="left"/>
      <w:pPr>
        <w:ind w:left="601" w:hanging="361"/>
        <w:jc w:val="left"/>
      </w:pPr>
      <w:rPr>
        <w:rFonts w:hint="default"/>
        <w:lang w:val="en-US" w:eastAsia="en-US" w:bidi="ar-SA"/>
      </w:rPr>
    </w:lvl>
    <w:lvl w:ilvl="1">
      <w:start w:val="4"/>
      <w:numFmt w:val="decimal"/>
      <w:lvlText w:val="%1.%2."/>
      <w:lvlJc w:val="left"/>
      <w:pPr>
        <w:ind w:left="601" w:hanging="361"/>
        <w:jc w:val="left"/>
      </w:pPr>
      <w:rPr>
        <w:rFonts w:hint="default" w:ascii="Times New Roman" w:hAnsi="Times New Roman" w:eastAsia="Times New Roman" w:cs="Times New Roman"/>
        <w:b/>
        <w:bCs/>
        <w:w w:val="100"/>
        <w:sz w:val="22"/>
        <w:szCs w:val="22"/>
        <w:lang w:val="en-US" w:eastAsia="en-US" w:bidi="ar-SA"/>
      </w:rPr>
    </w:lvl>
    <w:lvl w:ilvl="2">
      <w:start w:val="0"/>
      <w:numFmt w:val="bullet"/>
      <w:lvlText w:val="•"/>
      <w:lvlJc w:val="left"/>
      <w:pPr>
        <w:ind w:left="1940" w:hanging="361"/>
      </w:pPr>
      <w:rPr>
        <w:rFonts w:hint="default"/>
        <w:lang w:val="en-US" w:eastAsia="en-US" w:bidi="ar-SA"/>
      </w:rPr>
    </w:lvl>
    <w:lvl w:ilvl="3">
      <w:start w:val="0"/>
      <w:numFmt w:val="bullet"/>
      <w:lvlText w:val="•"/>
      <w:lvlJc w:val="left"/>
      <w:pPr>
        <w:ind w:left="2610" w:hanging="361"/>
      </w:pPr>
      <w:rPr>
        <w:rFonts w:hint="default"/>
        <w:lang w:val="en-US" w:eastAsia="en-US" w:bidi="ar-SA"/>
      </w:rPr>
    </w:lvl>
    <w:lvl w:ilvl="4">
      <w:start w:val="0"/>
      <w:numFmt w:val="bullet"/>
      <w:lvlText w:val="•"/>
      <w:lvlJc w:val="left"/>
      <w:pPr>
        <w:ind w:left="3280" w:hanging="361"/>
      </w:pPr>
      <w:rPr>
        <w:rFonts w:hint="default"/>
        <w:lang w:val="en-US" w:eastAsia="en-US" w:bidi="ar-SA"/>
      </w:rPr>
    </w:lvl>
    <w:lvl w:ilvl="5">
      <w:start w:val="0"/>
      <w:numFmt w:val="bullet"/>
      <w:lvlText w:val="•"/>
      <w:lvlJc w:val="left"/>
      <w:pPr>
        <w:ind w:left="3950" w:hanging="361"/>
      </w:pPr>
      <w:rPr>
        <w:rFonts w:hint="default"/>
        <w:lang w:val="en-US" w:eastAsia="en-US" w:bidi="ar-SA"/>
      </w:rPr>
    </w:lvl>
    <w:lvl w:ilvl="6">
      <w:start w:val="0"/>
      <w:numFmt w:val="bullet"/>
      <w:lvlText w:val="•"/>
      <w:lvlJc w:val="left"/>
      <w:pPr>
        <w:ind w:left="4620" w:hanging="361"/>
      </w:pPr>
      <w:rPr>
        <w:rFonts w:hint="default"/>
        <w:lang w:val="en-US" w:eastAsia="en-US" w:bidi="ar-SA"/>
      </w:rPr>
    </w:lvl>
    <w:lvl w:ilvl="7">
      <w:start w:val="0"/>
      <w:numFmt w:val="bullet"/>
      <w:lvlText w:val="•"/>
      <w:lvlJc w:val="left"/>
      <w:pPr>
        <w:ind w:left="5290" w:hanging="361"/>
      </w:pPr>
      <w:rPr>
        <w:rFonts w:hint="default"/>
        <w:lang w:val="en-US" w:eastAsia="en-US" w:bidi="ar-SA"/>
      </w:rPr>
    </w:lvl>
    <w:lvl w:ilvl="8">
      <w:start w:val="0"/>
      <w:numFmt w:val="bullet"/>
      <w:lvlText w:val="•"/>
      <w:lvlJc w:val="left"/>
      <w:pPr>
        <w:ind w:left="5960" w:hanging="361"/>
      </w:pPr>
      <w:rPr>
        <w:rFonts w:hint="default"/>
        <w:lang w:val="en-US" w:eastAsia="en-US" w:bidi="ar-SA"/>
      </w:rPr>
    </w:lvl>
  </w:abstractNum>
  <w:abstractNum w:abstractNumId="0">
    <w:multiLevelType w:val="hybridMultilevel"/>
    <w:lvl w:ilvl="0">
      <w:start w:val="1"/>
      <w:numFmt w:val="decimal"/>
      <w:lvlText w:val="%1-"/>
      <w:lvlJc w:val="left"/>
      <w:pPr>
        <w:ind w:left="600" w:hanging="360"/>
        <w:jc w:val="left"/>
      </w:pPr>
      <w:rPr>
        <w:rFonts w:hint="default" w:ascii="Times New Roman" w:hAnsi="Times New Roman" w:eastAsia="Times New Roman" w:cs="Times New Roman"/>
        <w:b/>
        <w:bCs/>
        <w:spacing w:val="0"/>
        <w:w w:val="100"/>
        <w:sz w:val="28"/>
        <w:szCs w:val="28"/>
        <w:lang w:val="en-US" w:eastAsia="en-US" w:bidi="ar-SA"/>
      </w:rPr>
    </w:lvl>
    <w:lvl w:ilvl="1">
      <w:start w:val="1"/>
      <w:numFmt w:val="decimal"/>
      <w:lvlText w:val="%1.%2."/>
      <w:lvlJc w:val="left"/>
      <w:pPr>
        <w:ind w:left="601" w:hanging="361"/>
        <w:jc w:val="left"/>
      </w:pPr>
      <w:rPr>
        <w:rFonts w:hint="default" w:ascii="Times New Roman" w:hAnsi="Times New Roman" w:eastAsia="Times New Roman" w:cs="Times New Roman"/>
        <w:b/>
        <w:bCs/>
        <w:spacing w:val="-2"/>
        <w:w w:val="99"/>
        <w:sz w:val="22"/>
        <w:szCs w:val="22"/>
        <w:lang w:val="en-US" w:eastAsia="en-US" w:bidi="ar-SA"/>
      </w:rPr>
    </w:lvl>
    <w:lvl w:ilvl="2">
      <w:start w:val="0"/>
      <w:numFmt w:val="bullet"/>
      <w:lvlText w:val="•"/>
      <w:lvlJc w:val="left"/>
      <w:pPr>
        <w:ind w:left="1397" w:hanging="361"/>
      </w:pPr>
      <w:rPr>
        <w:rFonts w:hint="default"/>
        <w:lang w:val="en-US" w:eastAsia="en-US" w:bidi="ar-SA"/>
      </w:rPr>
    </w:lvl>
    <w:lvl w:ilvl="3">
      <w:start w:val="0"/>
      <w:numFmt w:val="bullet"/>
      <w:lvlText w:val="•"/>
      <w:lvlJc w:val="left"/>
      <w:pPr>
        <w:ind w:left="2135" w:hanging="361"/>
      </w:pPr>
      <w:rPr>
        <w:rFonts w:hint="default"/>
        <w:lang w:val="en-US" w:eastAsia="en-US" w:bidi="ar-SA"/>
      </w:rPr>
    </w:lvl>
    <w:lvl w:ilvl="4">
      <w:start w:val="0"/>
      <w:numFmt w:val="bullet"/>
      <w:lvlText w:val="•"/>
      <w:lvlJc w:val="left"/>
      <w:pPr>
        <w:ind w:left="2873" w:hanging="361"/>
      </w:pPr>
      <w:rPr>
        <w:rFonts w:hint="default"/>
        <w:lang w:val="en-US" w:eastAsia="en-US" w:bidi="ar-SA"/>
      </w:rPr>
    </w:lvl>
    <w:lvl w:ilvl="5">
      <w:start w:val="0"/>
      <w:numFmt w:val="bullet"/>
      <w:lvlText w:val="•"/>
      <w:lvlJc w:val="left"/>
      <w:pPr>
        <w:ind w:left="3611" w:hanging="361"/>
      </w:pPr>
      <w:rPr>
        <w:rFonts w:hint="default"/>
        <w:lang w:val="en-US" w:eastAsia="en-US" w:bidi="ar-SA"/>
      </w:rPr>
    </w:lvl>
    <w:lvl w:ilvl="6">
      <w:start w:val="0"/>
      <w:numFmt w:val="bullet"/>
      <w:lvlText w:val="•"/>
      <w:lvlJc w:val="left"/>
      <w:pPr>
        <w:ind w:left="4348" w:hanging="361"/>
      </w:pPr>
      <w:rPr>
        <w:rFonts w:hint="default"/>
        <w:lang w:val="en-US" w:eastAsia="en-US" w:bidi="ar-SA"/>
      </w:rPr>
    </w:lvl>
    <w:lvl w:ilvl="7">
      <w:start w:val="0"/>
      <w:numFmt w:val="bullet"/>
      <w:lvlText w:val="•"/>
      <w:lvlJc w:val="left"/>
      <w:pPr>
        <w:ind w:left="5086" w:hanging="361"/>
      </w:pPr>
      <w:rPr>
        <w:rFonts w:hint="default"/>
        <w:lang w:val="en-US" w:eastAsia="en-US" w:bidi="ar-SA"/>
      </w:rPr>
    </w:lvl>
    <w:lvl w:ilvl="8">
      <w:start w:val="0"/>
      <w:numFmt w:val="bullet"/>
      <w:lvlText w:val="•"/>
      <w:lvlJc w:val="left"/>
      <w:pPr>
        <w:ind w:left="5824" w:hanging="36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22"/>
      <w:ind w:left="545" w:hanging="306"/>
      <w:jc w:val="both"/>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spacing w:before="119"/>
      <w:ind w:left="225"/>
      <w:jc w:val="both"/>
      <w:outlineLvl w:val="2"/>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68"/>
      <w:ind w:left="225" w:right="206"/>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spacing w:before="122"/>
      <w:ind w:left="545" w:hanging="30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earch.proquest.com/openview/5af37736aa34eaa4c8893252cf5e"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2021-03-30T15:24:01Z</dcterms:created>
  <dcterms:modified xsi:type="dcterms:W3CDTF">2021-03-30T15:24:01Z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for Microsoft 365</vt:lpwstr>
  </property>
  <property fmtid="{D5CDD505-2E9C-101B-9397-08002B2CF9AE}" pid="4" name="LastSaved">
    <vt:filetime>2021-03-30T00:00:00Z</vt:filetime>
  </property>
</Properties>
</file>